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32"/>
        </w:rPr>
      </w:pPr>
      <w:r>
        <w:rPr>
          <w:sz w:val="32"/>
        </w:rPr>
      </w:r>
    </w:p>
    <w:p>
      <w:pPr>
        <w:pStyle w:val="Normal"/>
        <w:jc w:val="center"/>
        <w:rPr>
          <w:sz w:val="32"/>
        </w:rPr>
      </w:pPr>
      <w:r>
        <w:rPr>
          <w:sz w:val="32"/>
        </w:rPr>
      </w:r>
    </w:p>
    <w:p>
      <w:pPr>
        <w:pStyle w:val="Normal"/>
        <w:jc w:val="center"/>
        <w:rPr>
          <w:sz w:val="32"/>
        </w:rPr>
      </w:pPr>
      <w:r>
        <w:rPr/>
        <w:drawing>
          <wp:inline distT="0" distB="0" distL="0" distR="0">
            <wp:extent cx="1190625" cy="161925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190625" cy="1619250"/>
                    </a:xfrm>
                    <a:prstGeom prst="rect">
                      <a:avLst/>
                    </a:prstGeom>
                  </pic:spPr>
                </pic:pic>
              </a:graphicData>
            </a:graphic>
          </wp:inline>
        </w:drawing>
      </w:r>
    </w:p>
    <w:p>
      <w:pPr>
        <w:pStyle w:val="Normal"/>
        <w:jc w:val="center"/>
        <w:rPr>
          <w:sz w:val="32"/>
        </w:rPr>
      </w:pPr>
      <w:r>
        <w:rPr>
          <w:sz w:val="32"/>
        </w:rPr>
      </w:r>
    </w:p>
    <w:p>
      <w:pPr>
        <w:pStyle w:val="Normal"/>
        <w:jc w:val="center"/>
        <w:rPr>
          <w:sz w:val="32"/>
        </w:rPr>
      </w:pPr>
      <w:r>
        <w:rPr>
          <w:sz w:val="32"/>
        </w:rPr>
      </w:r>
    </w:p>
    <w:p>
      <w:pPr>
        <w:pStyle w:val="Normal"/>
        <w:jc w:val="center"/>
        <w:rPr>
          <w:sz w:val="32"/>
        </w:rPr>
      </w:pPr>
      <w:r>
        <w:rPr>
          <w:sz w:val="32"/>
        </w:rPr>
      </w:r>
    </w:p>
    <w:p>
      <w:pPr>
        <w:pStyle w:val="Normal"/>
        <w:jc w:val="center"/>
        <w:rPr>
          <w:b/>
          <w:b/>
          <w:i/>
          <w:i/>
          <w:caps/>
          <w:sz w:val="40"/>
        </w:rPr>
      </w:pPr>
      <w:r>
        <w:rPr>
          <w:i/>
          <w:sz w:val="32"/>
        </w:rPr>
        <w:t>Projekt címe:</w:t>
      </w:r>
    </w:p>
    <w:p>
      <w:pPr>
        <w:pStyle w:val="Normal"/>
        <w:jc w:val="center"/>
        <w:rPr>
          <w:b/>
          <w:b/>
          <w:bCs/>
          <w:i/>
          <w:i/>
          <w:iCs/>
          <w:sz w:val="28"/>
          <w:szCs w:val="28"/>
        </w:rPr>
      </w:pPr>
      <w:r>
        <w:rPr>
          <w:b/>
          <w:bCs/>
          <w:i/>
          <w:iCs/>
          <w:sz w:val="28"/>
          <w:szCs w:val="28"/>
        </w:rPr>
      </w:r>
    </w:p>
    <w:p>
      <w:pPr>
        <w:pStyle w:val="Normal"/>
        <w:jc w:val="center"/>
        <w:rPr>
          <w:b/>
          <w:b/>
          <w:sz w:val="32"/>
          <w:szCs w:val="32"/>
        </w:rPr>
      </w:pPr>
      <w:r>
        <w:rPr>
          <w:b/>
          <w:sz w:val="32"/>
          <w:szCs w:val="32"/>
        </w:rPr>
        <w:t>„</w:t>
      </w:r>
      <w:r>
        <w:rPr>
          <w:b/>
          <w:sz w:val="32"/>
          <w:szCs w:val="32"/>
        </w:rPr>
        <w:t>MEGGYES SZENNYVÍZCSATORNÁZÁS”</w:t>
      </w:r>
    </w:p>
    <w:p>
      <w:pPr>
        <w:pStyle w:val="Normal"/>
        <w:rPr/>
      </w:pPr>
      <w:r>
        <w:rPr/>
      </w:r>
    </w:p>
    <w:p>
      <w:pPr>
        <w:pStyle w:val="Normal"/>
        <w:rPr/>
      </w:pPr>
      <w:r>
        <w:rPr/>
      </w:r>
    </w:p>
    <w:p>
      <w:pPr>
        <w:pStyle w:val="Normal"/>
        <w:jc w:val="center"/>
        <w:rPr>
          <w:b/>
          <w:b/>
          <w:i/>
          <w:i/>
          <w:caps/>
          <w:sz w:val="40"/>
        </w:rPr>
      </w:pPr>
      <w:r>
        <w:rPr>
          <w:i/>
          <w:sz w:val="32"/>
        </w:rPr>
        <w:t>Dokumentum címe:</w:t>
      </w:r>
    </w:p>
    <w:p>
      <w:pPr>
        <w:pStyle w:val="Normal"/>
        <w:rPr/>
      </w:pPr>
      <w:r>
        <w:rPr/>
      </w:r>
    </w:p>
    <w:p>
      <w:pPr>
        <w:pStyle w:val="Normal"/>
        <w:jc w:val="center"/>
        <w:rPr>
          <w:b/>
          <w:b/>
          <w:sz w:val="32"/>
          <w:szCs w:val="32"/>
        </w:rPr>
      </w:pPr>
      <w:r>
        <w:rPr>
          <w:b/>
          <w:sz w:val="32"/>
          <w:szCs w:val="32"/>
        </w:rPr>
        <w:t>Megrendelő követelményei</w:t>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Annotationtext"/>
        <w:spacing w:before="0" w:after="0"/>
        <w:ind w:right="-108" w:hanging="0"/>
        <w:jc w:val="left"/>
        <w:rPr>
          <w:bCs/>
          <w:sz w:val="24"/>
          <w:szCs w:val="24"/>
        </w:rPr>
      </w:pPr>
      <w:r>
        <w:rPr>
          <w:bCs/>
          <w:sz w:val="24"/>
          <w:szCs w:val="24"/>
        </w:rPr>
        <w:t>Ajánlatkérő:</w:t>
      </w:r>
    </w:p>
    <w:p>
      <w:pPr>
        <w:pStyle w:val="Normal"/>
        <w:rPr>
          <w:b/>
          <w:b/>
          <w:szCs w:val="24"/>
        </w:rPr>
      </w:pPr>
      <w:r>
        <w:rPr>
          <w:b/>
          <w:szCs w:val="24"/>
        </w:rPr>
      </w:r>
    </w:p>
    <w:p>
      <w:pPr>
        <w:pStyle w:val="Normal"/>
        <w:rPr>
          <w:b/>
          <w:b/>
          <w:szCs w:val="24"/>
        </w:rPr>
      </w:pPr>
      <w:r>
        <w:rPr>
          <w:b/>
          <w:szCs w:val="24"/>
        </w:rPr>
        <w:t>Gödöllő Város Önkormányzata</w:t>
      </w:r>
    </w:p>
    <w:p>
      <w:pPr>
        <w:pStyle w:val="Annotationtext"/>
        <w:spacing w:before="0" w:after="0"/>
        <w:ind w:right="-108" w:hanging="0"/>
        <w:jc w:val="left"/>
        <w:rPr>
          <w:b/>
          <w:b/>
          <w:bCs/>
          <w:sz w:val="24"/>
          <w:szCs w:val="24"/>
        </w:rPr>
      </w:pPr>
      <w:r>
        <w:rPr>
          <w:sz w:val="24"/>
          <w:szCs w:val="24"/>
        </w:rPr>
        <w:t>2100 Gödöllő, Szabadság tér 7.</w:t>
      </w:r>
    </w:p>
    <w:p>
      <w:pPr>
        <w:pStyle w:val="Annotationtext"/>
        <w:spacing w:before="0" w:after="0"/>
        <w:ind w:right="-108" w:hanging="0"/>
        <w:jc w:val="left"/>
        <w:rPr>
          <w:b/>
          <w:b/>
          <w:bCs/>
          <w:sz w:val="24"/>
          <w:szCs w:val="24"/>
        </w:rPr>
      </w:pPr>
      <w:r>
        <w:rPr>
          <w:b/>
          <w:bCs/>
          <w:sz w:val="24"/>
          <w:szCs w:val="24"/>
        </w:rPr>
      </w:r>
    </w:p>
    <w:p>
      <w:pPr>
        <w:pStyle w:val="Annotationtext"/>
        <w:spacing w:before="0" w:after="0"/>
        <w:ind w:right="-108" w:hanging="0"/>
        <w:jc w:val="left"/>
        <w:rPr>
          <w:sz w:val="24"/>
          <w:szCs w:val="24"/>
        </w:rPr>
      </w:pPr>
      <w:r>
        <w:rPr>
          <w:b/>
          <w:bCs/>
          <w:sz w:val="24"/>
          <w:szCs w:val="24"/>
        </w:rPr>
        <w:t xml:space="preserve">Képviseli: </w:t>
      </w:r>
      <w:r>
        <w:rPr>
          <w:sz w:val="24"/>
          <w:szCs w:val="24"/>
        </w:rPr>
        <w:t>Dr. Gémesi György polgármester</w:t>
        <w:br/>
        <w:t>2100 Gödöllő, Szabadság tér 7.</w:t>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sectPr>
          <w:headerReference w:type="default" r:id="rId3"/>
          <w:type w:val="nextPage"/>
          <w:pgSz w:w="11906" w:h="16838"/>
          <w:pgMar w:left="1247" w:right="1247" w:header="709" w:top="1134" w:footer="0" w:bottom="992" w:gutter="0"/>
          <w:pgNumType w:fmt="decimal"/>
          <w:formProt w:val="false"/>
          <w:textDirection w:val="lrTb"/>
          <w:docGrid w:type="default" w:linePitch="360" w:charSpace="4294961151"/>
        </w:sectPr>
        <w:pStyle w:val="Normal"/>
        <w:jc w:val="center"/>
        <w:rPr>
          <w:b/>
          <w:b/>
          <w:szCs w:val="24"/>
        </w:rPr>
      </w:pPr>
      <w:r>
        <w:rPr>
          <w:b/>
          <w:szCs w:val="24"/>
        </w:rPr>
        <w:t>Gödöllő, 2017. április</w:t>
      </w:r>
    </w:p>
    <w:p>
      <w:pPr>
        <w:pStyle w:val="Normal"/>
        <w:jc w:val="center"/>
        <w:rPr>
          <w:b/>
          <w:b/>
          <w:sz w:val="28"/>
          <w:szCs w:val="28"/>
        </w:rPr>
      </w:pPr>
      <w:r>
        <w:rPr>
          <w:b/>
          <w:sz w:val="28"/>
          <w:szCs w:val="28"/>
        </w:rPr>
        <w:t>Tartalomjegyzék</w:t>
      </w:r>
    </w:p>
    <w:p>
      <w:pPr>
        <w:pStyle w:val="Normal"/>
        <w:rPr/>
      </w:pPr>
      <w:r>
        <w:rPr/>
      </w:r>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r>
        <w:fldChar w:fldCharType="begin"/>
      </w:r>
      <w:r>
        <w:instrText> TOC \z \o "1-3" \u \h</w:instrText>
      </w:r>
      <w:r>
        <w:fldChar w:fldCharType="separate"/>
      </w:r>
      <w:hyperlink w:anchor="_Toc453756411">
        <w:r>
          <w:rPr>
            <w:webHidden/>
            <w:rStyle w:val="Jegyzkhivatkozs"/>
            <w:vanish w:val="false"/>
          </w:rPr>
          <w:t>1</w:t>
        </w:r>
        <w:r>
          <w:rPr>
            <w:rStyle w:val="Jegyzkhivatkozs"/>
            <w:rFonts w:eastAsia="" w:cs="" w:ascii="Calibri" w:hAnsi="Calibri" w:asciiTheme="minorHAnsi" w:cstheme="minorBidi" w:eastAsiaTheme="minorEastAsia" w:hAnsiTheme="minorHAnsi"/>
            <w:sz w:val="22"/>
            <w:lang w:eastAsia="hu-HU"/>
          </w:rPr>
          <w:tab/>
        </w:r>
        <w:r>
          <w:rPr>
            <w:rStyle w:val="Jegyzkhivatkozs"/>
          </w:rPr>
          <w:t>BEVEZETÉS</w:t>
        </w:r>
        <w:r>
          <w:rPr>
            <w:webHidden/>
          </w:rPr>
          <w:fldChar w:fldCharType="begin"/>
        </w:r>
        <w:r>
          <w:rPr>
            <w:webHidden/>
          </w:rPr>
          <w:instrText>PAGEREF _Toc453756411 \h</w:instrText>
        </w:r>
        <w:r>
          <w:rPr>
            <w:webHidden/>
          </w:rPr>
          <w:fldChar w:fldCharType="separate"/>
        </w:r>
        <w:r>
          <w:rPr>
            <w:rStyle w:val="Jegyzkhivatkozs"/>
            <w:vanish w:val="false"/>
          </w:rPr>
          <w:tab/>
          <w:t>3</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12">
        <w:r>
          <w:rPr>
            <w:webHidden/>
            <w:rStyle w:val="Jegyzkhivatkozs"/>
            <w:vanish w:val="false"/>
          </w:rPr>
          <w:t>1.1</w:t>
        </w:r>
        <w:r>
          <w:rPr>
            <w:rStyle w:val="Jegyzkhivatkozs"/>
            <w:rFonts w:eastAsia="" w:cs="" w:ascii="Calibri" w:hAnsi="Calibri" w:asciiTheme="minorHAnsi" w:cstheme="minorBidi" w:eastAsiaTheme="minorEastAsia" w:hAnsiTheme="minorHAnsi"/>
            <w:sz w:val="22"/>
            <w:lang w:eastAsia="hu-HU"/>
          </w:rPr>
          <w:tab/>
        </w:r>
        <w:r>
          <w:rPr>
            <w:rStyle w:val="Jegyzkhivatkozs"/>
          </w:rPr>
          <w:t>Előzmények</w:t>
        </w:r>
        <w:r>
          <w:rPr>
            <w:webHidden/>
          </w:rPr>
          <w:fldChar w:fldCharType="begin"/>
        </w:r>
        <w:r>
          <w:rPr>
            <w:webHidden/>
          </w:rPr>
          <w:instrText>PAGEREF _Toc453756412 \h</w:instrText>
        </w:r>
        <w:r>
          <w:rPr>
            <w:webHidden/>
          </w:rPr>
          <w:fldChar w:fldCharType="separate"/>
        </w:r>
        <w:r>
          <w:rPr>
            <w:rStyle w:val="Jegyzkhivatkozs"/>
            <w:vanish w:val="false"/>
          </w:rPr>
          <w:tab/>
          <w:t>3</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13">
        <w:r>
          <w:rPr>
            <w:webHidden/>
            <w:rStyle w:val="Jegyzkhivatkozs"/>
            <w:vanish w:val="false"/>
          </w:rPr>
          <w:t>1.2</w:t>
        </w:r>
        <w:r>
          <w:rPr>
            <w:rStyle w:val="Jegyzkhivatkozs"/>
            <w:rFonts w:eastAsia="" w:cs="" w:ascii="Calibri" w:hAnsi="Calibri" w:asciiTheme="minorHAnsi" w:cstheme="minorBidi" w:eastAsiaTheme="minorEastAsia" w:hAnsiTheme="minorHAnsi"/>
            <w:sz w:val="22"/>
            <w:lang w:eastAsia="hu-HU"/>
          </w:rPr>
          <w:tab/>
        </w:r>
        <w:r>
          <w:rPr>
            <w:rStyle w:val="Jegyzkhivatkozs"/>
          </w:rPr>
          <w:t>A fejlesztés célja</w:t>
        </w:r>
        <w:r>
          <w:rPr>
            <w:webHidden/>
          </w:rPr>
          <w:fldChar w:fldCharType="begin"/>
        </w:r>
        <w:r>
          <w:rPr>
            <w:webHidden/>
          </w:rPr>
          <w:instrText>PAGEREF _Toc453756413 \h</w:instrText>
        </w:r>
        <w:r>
          <w:rPr>
            <w:webHidden/>
          </w:rPr>
          <w:fldChar w:fldCharType="separate"/>
        </w:r>
        <w:r>
          <w:rPr>
            <w:rStyle w:val="Jegyzkhivatkozs"/>
            <w:vanish w:val="false"/>
          </w:rPr>
          <w:tab/>
          <w:t>3</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14">
        <w:r>
          <w:rPr>
            <w:webHidden/>
            <w:rStyle w:val="Jegyzkhivatkozs"/>
            <w:vanish w:val="false"/>
          </w:rPr>
          <w:t>2</w:t>
        </w:r>
        <w:r>
          <w:rPr>
            <w:rStyle w:val="Jegyzkhivatkozs"/>
            <w:rFonts w:eastAsia="" w:cs="" w:ascii="Calibri" w:hAnsi="Calibri" w:asciiTheme="minorHAnsi" w:cstheme="minorBidi" w:eastAsiaTheme="minorEastAsia" w:hAnsiTheme="minorHAnsi"/>
            <w:sz w:val="22"/>
            <w:lang w:eastAsia="hu-HU"/>
          </w:rPr>
          <w:tab/>
        </w:r>
        <w:r>
          <w:rPr>
            <w:rStyle w:val="Jegyzkhivatkozs"/>
          </w:rPr>
          <w:t>AZ AJÁNLATKÉRŐ ÁLTAL NYÚJTOTT SZOLGÁLTATÁSOK</w:t>
        </w:r>
        <w:r>
          <w:rPr>
            <w:webHidden/>
          </w:rPr>
          <w:fldChar w:fldCharType="begin"/>
        </w:r>
        <w:r>
          <w:rPr>
            <w:webHidden/>
          </w:rPr>
          <w:instrText>PAGEREF _Toc453756414 \h</w:instrText>
        </w:r>
        <w:r>
          <w:rPr>
            <w:webHidden/>
          </w:rPr>
          <w:fldChar w:fldCharType="separate"/>
        </w:r>
        <w:r>
          <w:rPr>
            <w:rStyle w:val="Jegyzkhivatkozs"/>
            <w:vanish w:val="false"/>
          </w:rPr>
          <w:tab/>
          <w:t>3</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15">
        <w:r>
          <w:rPr>
            <w:webHidden/>
            <w:rStyle w:val="Jegyzkhivatkozs"/>
            <w:vanish w:val="false"/>
          </w:rPr>
          <w:t>3</w:t>
        </w:r>
        <w:r>
          <w:rPr>
            <w:rStyle w:val="Jegyzkhivatkozs"/>
            <w:rFonts w:eastAsia="" w:cs="" w:ascii="Calibri" w:hAnsi="Calibri" w:asciiTheme="minorHAnsi" w:cstheme="minorBidi" w:eastAsiaTheme="minorEastAsia" w:hAnsiTheme="minorHAnsi"/>
            <w:sz w:val="22"/>
            <w:lang w:eastAsia="hu-HU"/>
          </w:rPr>
          <w:tab/>
        </w:r>
        <w:r>
          <w:rPr>
            <w:rStyle w:val="Jegyzkhivatkozs"/>
          </w:rPr>
          <w:t>FELADAT - projekt</w:t>
        </w:r>
        <w:r>
          <w:rPr>
            <w:webHidden/>
          </w:rPr>
          <w:fldChar w:fldCharType="begin"/>
        </w:r>
        <w:r>
          <w:rPr>
            <w:webHidden/>
          </w:rPr>
          <w:instrText>PAGEREF _Toc453756415 \h</w:instrText>
        </w:r>
        <w:r>
          <w:rPr>
            <w:webHidden/>
          </w:rPr>
          <w:fldChar w:fldCharType="separate"/>
        </w:r>
        <w:r>
          <w:rPr>
            <w:rStyle w:val="Jegyzkhivatkozs"/>
            <w:vanish w:val="false"/>
          </w:rPr>
          <w:tab/>
          <w:t>4</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16">
        <w:r>
          <w:rPr>
            <w:webHidden/>
            <w:rStyle w:val="Jegyzkhivatkozs"/>
            <w:vanish w:val="false"/>
          </w:rPr>
          <w:t>I.</w:t>
        </w:r>
        <w:r>
          <w:rPr>
            <w:rStyle w:val="Jegyzkhivatkozs"/>
            <w:rFonts w:eastAsia="" w:cs="" w:ascii="Calibri" w:hAnsi="Calibri" w:asciiTheme="minorHAnsi" w:cstheme="minorBidi" w:eastAsiaTheme="minorEastAsia" w:hAnsiTheme="minorHAnsi"/>
            <w:sz w:val="22"/>
            <w:lang w:eastAsia="hu-HU"/>
          </w:rPr>
          <w:tab/>
        </w:r>
        <w:r>
          <w:rPr>
            <w:rStyle w:val="Jegyzkhivatkozs"/>
          </w:rPr>
          <w:t>FEJEZET: AZ AJÁNLATKÉRŐ ÁLTAL MEGHATÁROZOTT ÁLTALÁNOS ELŐÍRÁSOK</w:t>
        </w:r>
        <w:r>
          <w:rPr>
            <w:webHidden/>
          </w:rPr>
          <w:fldChar w:fldCharType="begin"/>
        </w:r>
        <w:r>
          <w:rPr>
            <w:webHidden/>
          </w:rPr>
          <w:instrText>PAGEREF _Toc453756416 \h</w:instrText>
        </w:r>
        <w:r>
          <w:rPr>
            <w:webHidden/>
          </w:rPr>
          <w:fldChar w:fldCharType="separate"/>
        </w:r>
        <w:r>
          <w:rPr>
            <w:rStyle w:val="Jegyzkhivatkozs"/>
            <w:vanish w:val="false"/>
          </w:rPr>
          <w:tab/>
          <w:t>4</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17">
        <w:r>
          <w:rPr>
            <w:webHidden/>
            <w:rStyle w:val="Jegyzkhivatkozs"/>
            <w:vanish w:val="false"/>
          </w:rPr>
          <w:t>1</w:t>
        </w:r>
        <w:r>
          <w:rPr>
            <w:rStyle w:val="Jegyzkhivatkozs"/>
            <w:rFonts w:eastAsia="" w:cs="" w:ascii="Calibri" w:hAnsi="Calibri" w:asciiTheme="minorHAnsi" w:cstheme="minorBidi" w:eastAsiaTheme="minorEastAsia" w:hAnsiTheme="minorHAnsi"/>
            <w:sz w:val="22"/>
            <w:lang w:eastAsia="hu-HU"/>
          </w:rPr>
          <w:tab/>
        </w:r>
        <w:r>
          <w:rPr>
            <w:rStyle w:val="Jegyzkhivatkozs"/>
          </w:rPr>
          <w:t>Általános minőségi előírások</w:t>
        </w:r>
        <w:r>
          <w:rPr>
            <w:webHidden/>
          </w:rPr>
          <w:fldChar w:fldCharType="begin"/>
        </w:r>
        <w:r>
          <w:rPr>
            <w:webHidden/>
          </w:rPr>
          <w:instrText>PAGEREF _Toc453756417 \h</w:instrText>
        </w:r>
        <w:r>
          <w:rPr>
            <w:webHidden/>
          </w:rPr>
          <w:fldChar w:fldCharType="separate"/>
        </w:r>
        <w:r>
          <w:rPr>
            <w:rStyle w:val="Jegyzkhivatkozs"/>
            <w:vanish w:val="false"/>
          </w:rPr>
          <w:tab/>
          <w:t>4</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18">
        <w:r>
          <w:rPr>
            <w:webHidden/>
            <w:rStyle w:val="Jegyzkhivatkozs"/>
            <w:vanish w:val="false"/>
          </w:rPr>
          <w:t>2</w:t>
        </w:r>
        <w:r>
          <w:rPr>
            <w:rStyle w:val="Jegyzkhivatkozs"/>
            <w:rFonts w:eastAsia="" w:cs="" w:ascii="Calibri" w:hAnsi="Calibri" w:asciiTheme="minorHAnsi" w:cstheme="minorBidi" w:eastAsiaTheme="minorEastAsia" w:hAnsiTheme="minorHAnsi"/>
            <w:sz w:val="22"/>
            <w:lang w:eastAsia="hu-HU"/>
          </w:rPr>
          <w:tab/>
        </w:r>
        <w:r>
          <w:rPr>
            <w:rStyle w:val="Jegyzkhivatkozs"/>
          </w:rPr>
          <w:t>A Vállalkozó feladatai általánosságban</w:t>
        </w:r>
        <w:r>
          <w:rPr>
            <w:webHidden/>
          </w:rPr>
          <w:fldChar w:fldCharType="begin"/>
        </w:r>
        <w:r>
          <w:rPr>
            <w:webHidden/>
          </w:rPr>
          <w:instrText>PAGEREF _Toc453756418 \h</w:instrText>
        </w:r>
        <w:r>
          <w:rPr>
            <w:webHidden/>
          </w:rPr>
          <w:fldChar w:fldCharType="separate"/>
        </w:r>
        <w:r>
          <w:rPr>
            <w:rStyle w:val="Jegyzkhivatkozs"/>
            <w:vanish w:val="false"/>
          </w:rPr>
          <w:tab/>
          <w:t>5</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19">
        <w:r>
          <w:rPr>
            <w:webHidden/>
            <w:rStyle w:val="Jegyzkhivatkozs"/>
            <w:vanish w:val="false"/>
          </w:rPr>
          <w:t>3</w:t>
        </w:r>
        <w:r>
          <w:rPr>
            <w:rStyle w:val="Jegyzkhivatkozs"/>
            <w:rFonts w:eastAsia="" w:cs="" w:ascii="Calibri" w:hAnsi="Calibri" w:asciiTheme="minorHAnsi" w:cstheme="minorBidi" w:eastAsiaTheme="minorEastAsia" w:hAnsiTheme="minorHAnsi"/>
            <w:sz w:val="22"/>
            <w:lang w:eastAsia="hu-HU"/>
          </w:rPr>
          <w:tab/>
        </w:r>
        <w:r>
          <w:rPr>
            <w:rStyle w:val="Jegyzkhivatkozs"/>
          </w:rPr>
          <w:t>Tervezés</w:t>
        </w:r>
        <w:r>
          <w:rPr>
            <w:webHidden/>
          </w:rPr>
          <w:fldChar w:fldCharType="begin"/>
        </w:r>
        <w:r>
          <w:rPr>
            <w:webHidden/>
          </w:rPr>
          <w:instrText>PAGEREF _Toc453756419 \h</w:instrText>
        </w:r>
        <w:r>
          <w:rPr>
            <w:webHidden/>
          </w:rPr>
          <w:fldChar w:fldCharType="separate"/>
        </w:r>
        <w:r>
          <w:rPr>
            <w:rStyle w:val="Jegyzkhivatkozs"/>
            <w:vanish w:val="false"/>
          </w:rPr>
          <w:tab/>
          <w:t>6</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0">
        <w:r>
          <w:rPr>
            <w:webHidden/>
            <w:rStyle w:val="Jegyzkhivatkozs"/>
            <w:vanish w:val="false"/>
          </w:rPr>
          <w:t>3.1</w:t>
        </w:r>
        <w:r>
          <w:rPr>
            <w:rStyle w:val="Jegyzkhivatkozs"/>
            <w:rFonts w:eastAsia="" w:cs="" w:ascii="Calibri" w:hAnsi="Calibri" w:asciiTheme="minorHAnsi" w:cstheme="minorBidi" w:eastAsiaTheme="minorEastAsia" w:hAnsiTheme="minorHAnsi"/>
            <w:sz w:val="22"/>
            <w:lang w:eastAsia="hu-HU"/>
          </w:rPr>
          <w:tab/>
        </w:r>
        <w:r>
          <w:rPr>
            <w:rStyle w:val="Jegyzkhivatkozs"/>
          </w:rPr>
          <w:t>Példányszámok</w:t>
        </w:r>
        <w:r>
          <w:rPr>
            <w:webHidden/>
          </w:rPr>
          <w:fldChar w:fldCharType="begin"/>
        </w:r>
        <w:r>
          <w:rPr>
            <w:webHidden/>
          </w:rPr>
          <w:instrText>PAGEREF _Toc453756420 \h</w:instrText>
        </w:r>
        <w:r>
          <w:rPr>
            <w:webHidden/>
          </w:rPr>
          <w:fldChar w:fldCharType="separate"/>
        </w:r>
        <w:r>
          <w:rPr>
            <w:rStyle w:val="Jegyzkhivatkozs"/>
            <w:vanish w:val="false"/>
          </w:rPr>
          <w:tab/>
          <w:t>7</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1">
        <w:r>
          <w:rPr>
            <w:webHidden/>
            <w:rStyle w:val="Jegyzkhivatkozs"/>
            <w:vanish w:val="false"/>
          </w:rPr>
          <w:t>3.2</w:t>
        </w:r>
        <w:r>
          <w:rPr>
            <w:rStyle w:val="Jegyzkhivatkozs"/>
            <w:rFonts w:eastAsia="" w:cs="" w:ascii="Calibri" w:hAnsi="Calibri" w:asciiTheme="minorHAnsi" w:cstheme="minorBidi" w:eastAsiaTheme="minorEastAsia" w:hAnsiTheme="minorHAnsi"/>
            <w:sz w:val="22"/>
            <w:lang w:eastAsia="hu-HU"/>
          </w:rPr>
          <w:tab/>
        </w:r>
        <w:r>
          <w:rPr>
            <w:rStyle w:val="Jegyzkhivatkozs"/>
          </w:rPr>
          <w:t>Kiviteli tervek méretaránya</w:t>
        </w:r>
        <w:r>
          <w:rPr>
            <w:webHidden/>
          </w:rPr>
          <w:fldChar w:fldCharType="begin"/>
        </w:r>
        <w:r>
          <w:rPr>
            <w:webHidden/>
          </w:rPr>
          <w:instrText>PAGEREF _Toc453756421 \h</w:instrText>
        </w:r>
        <w:r>
          <w:rPr>
            <w:webHidden/>
          </w:rPr>
          <w:fldChar w:fldCharType="separate"/>
        </w:r>
        <w:r>
          <w:rPr>
            <w:rStyle w:val="Jegyzkhivatkozs"/>
            <w:vanish w:val="false"/>
          </w:rPr>
          <w:tab/>
          <w:t>7</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2">
        <w:r>
          <w:rPr>
            <w:webHidden/>
            <w:rStyle w:val="Jegyzkhivatkozs"/>
            <w:vanish w:val="false"/>
          </w:rPr>
          <w:t>3.3</w:t>
        </w:r>
        <w:r>
          <w:rPr>
            <w:rStyle w:val="Jegyzkhivatkozs"/>
            <w:rFonts w:eastAsia="" w:cs="" w:ascii="Calibri" w:hAnsi="Calibri" w:asciiTheme="minorHAnsi" w:cstheme="minorBidi" w:eastAsiaTheme="minorEastAsia" w:hAnsiTheme="minorHAnsi"/>
            <w:sz w:val="22"/>
            <w:lang w:eastAsia="hu-HU"/>
          </w:rPr>
          <w:tab/>
        </w:r>
        <w:r>
          <w:rPr>
            <w:rStyle w:val="Jegyzkhivatkozs"/>
          </w:rPr>
          <w:t>Tervezési elővizsgálatok és mérések</w:t>
        </w:r>
        <w:r>
          <w:rPr>
            <w:webHidden/>
          </w:rPr>
          <w:fldChar w:fldCharType="begin"/>
        </w:r>
        <w:r>
          <w:rPr>
            <w:webHidden/>
          </w:rPr>
          <w:instrText>PAGEREF _Toc453756422 \h</w:instrText>
        </w:r>
        <w:r>
          <w:rPr>
            <w:webHidden/>
          </w:rPr>
          <w:fldChar w:fldCharType="separate"/>
        </w:r>
        <w:r>
          <w:rPr>
            <w:rStyle w:val="Jegyzkhivatkozs"/>
            <w:vanish w:val="false"/>
          </w:rPr>
          <w:tab/>
          <w:t>7</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3">
        <w:r>
          <w:rPr>
            <w:webHidden/>
            <w:rStyle w:val="Jegyzkhivatkozs"/>
            <w:vanish w:val="false"/>
          </w:rPr>
          <w:t>3.4</w:t>
        </w:r>
        <w:r>
          <w:rPr>
            <w:rStyle w:val="Jegyzkhivatkozs"/>
            <w:rFonts w:eastAsia="" w:cs="" w:ascii="Calibri" w:hAnsi="Calibri" w:asciiTheme="minorHAnsi" w:cstheme="minorBidi" w:eastAsiaTheme="minorEastAsia" w:hAnsiTheme="minorHAnsi"/>
            <w:sz w:val="22"/>
            <w:lang w:eastAsia="hu-HU"/>
          </w:rPr>
          <w:tab/>
        </w:r>
        <w:r>
          <w:rPr>
            <w:rStyle w:val="Jegyzkhivatkozs"/>
          </w:rPr>
          <w:t>Állapotfelvételi dokumentáció</w:t>
        </w:r>
        <w:r>
          <w:rPr>
            <w:webHidden/>
          </w:rPr>
          <w:fldChar w:fldCharType="begin"/>
        </w:r>
        <w:r>
          <w:rPr>
            <w:webHidden/>
          </w:rPr>
          <w:instrText>PAGEREF _Toc453756423 \h</w:instrText>
        </w:r>
        <w:r>
          <w:rPr>
            <w:webHidden/>
          </w:rPr>
          <w:fldChar w:fldCharType="separate"/>
        </w:r>
        <w:r>
          <w:rPr>
            <w:rStyle w:val="Jegyzkhivatkozs"/>
            <w:vanish w:val="false"/>
          </w:rPr>
          <w:tab/>
          <w:t>8</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4">
        <w:r>
          <w:rPr>
            <w:webHidden/>
            <w:rStyle w:val="Jegyzkhivatkozs"/>
            <w:vanish w:val="false"/>
          </w:rPr>
          <w:t>3.5</w:t>
        </w:r>
        <w:r>
          <w:rPr>
            <w:rStyle w:val="Jegyzkhivatkozs"/>
            <w:rFonts w:eastAsia="" w:cs="" w:ascii="Calibri" w:hAnsi="Calibri" w:asciiTheme="minorHAnsi" w:cstheme="minorBidi" w:eastAsiaTheme="minorEastAsia" w:hAnsiTheme="minorHAnsi"/>
            <w:sz w:val="22"/>
            <w:lang w:eastAsia="hu-HU"/>
          </w:rPr>
          <w:tab/>
        </w:r>
        <w:r>
          <w:rPr>
            <w:rStyle w:val="Jegyzkhivatkozs"/>
          </w:rPr>
          <w:t>Kiviteli tervek</w:t>
        </w:r>
        <w:r>
          <w:rPr>
            <w:webHidden/>
          </w:rPr>
          <w:fldChar w:fldCharType="begin"/>
        </w:r>
        <w:r>
          <w:rPr>
            <w:webHidden/>
          </w:rPr>
          <w:instrText>PAGEREF _Toc453756424 \h</w:instrText>
        </w:r>
        <w:r>
          <w:rPr>
            <w:webHidden/>
          </w:rPr>
          <w:fldChar w:fldCharType="separate"/>
        </w:r>
        <w:r>
          <w:rPr>
            <w:rStyle w:val="Jegyzkhivatkozs"/>
            <w:vanish w:val="false"/>
          </w:rPr>
          <w:tab/>
          <w:t>8</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5">
        <w:r>
          <w:rPr>
            <w:webHidden/>
            <w:rStyle w:val="Jegyzkhivatkozs"/>
            <w:vanish w:val="false"/>
          </w:rPr>
          <w:t>3.6</w:t>
        </w:r>
        <w:r>
          <w:rPr>
            <w:rStyle w:val="Jegyzkhivatkozs"/>
            <w:rFonts w:eastAsia="" w:cs="" w:ascii="Calibri" w:hAnsi="Calibri" w:asciiTheme="minorHAnsi" w:cstheme="minorBidi" w:eastAsiaTheme="minorEastAsia" w:hAnsiTheme="minorHAnsi"/>
            <w:sz w:val="22"/>
            <w:lang w:eastAsia="hu-HU"/>
          </w:rPr>
          <w:tab/>
        </w:r>
        <w:r>
          <w:rPr>
            <w:rStyle w:val="Jegyzkhivatkozs"/>
          </w:rPr>
          <w:t>Megvalósulási tervek</w:t>
        </w:r>
        <w:r>
          <w:rPr>
            <w:webHidden/>
          </w:rPr>
          <w:fldChar w:fldCharType="begin"/>
        </w:r>
        <w:r>
          <w:rPr>
            <w:webHidden/>
          </w:rPr>
          <w:instrText>PAGEREF _Toc453756425 \h</w:instrText>
        </w:r>
        <w:r>
          <w:rPr>
            <w:webHidden/>
          </w:rPr>
          <w:fldChar w:fldCharType="separate"/>
        </w:r>
        <w:r>
          <w:rPr>
            <w:rStyle w:val="Jegyzkhivatkozs"/>
            <w:vanish w:val="false"/>
          </w:rPr>
          <w:tab/>
          <w:t>9</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6">
        <w:r>
          <w:rPr>
            <w:webHidden/>
            <w:rStyle w:val="Jegyzkhivatkozs"/>
            <w:vanish w:val="false"/>
          </w:rPr>
          <w:t>3.7</w:t>
        </w:r>
        <w:r>
          <w:rPr>
            <w:rStyle w:val="Jegyzkhivatkozs"/>
            <w:rFonts w:eastAsia="" w:cs="" w:ascii="Calibri" w:hAnsi="Calibri" w:asciiTheme="minorHAnsi" w:cstheme="minorBidi" w:eastAsiaTheme="minorEastAsia" w:hAnsiTheme="minorHAnsi"/>
            <w:sz w:val="22"/>
            <w:lang w:eastAsia="hu-HU"/>
          </w:rPr>
          <w:tab/>
        </w:r>
        <w:r>
          <w:rPr>
            <w:rStyle w:val="Jegyzkhivatkozs"/>
          </w:rPr>
          <w:t>Egyéb tervek</w:t>
        </w:r>
        <w:r>
          <w:rPr>
            <w:webHidden/>
          </w:rPr>
          <w:fldChar w:fldCharType="begin"/>
        </w:r>
        <w:r>
          <w:rPr>
            <w:webHidden/>
          </w:rPr>
          <w:instrText>PAGEREF _Toc453756426 \h</w:instrText>
        </w:r>
        <w:r>
          <w:rPr>
            <w:webHidden/>
          </w:rPr>
          <w:fldChar w:fldCharType="separate"/>
        </w:r>
        <w:r>
          <w:rPr>
            <w:rStyle w:val="Jegyzkhivatkozs"/>
            <w:vanish w:val="false"/>
          </w:rPr>
          <w:tab/>
          <w:t>9</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7">
        <w:r>
          <w:rPr>
            <w:webHidden/>
            <w:rStyle w:val="Jegyzkhivatkozs"/>
            <w:vanish w:val="false"/>
          </w:rPr>
          <w:t>3.8</w:t>
        </w:r>
        <w:r>
          <w:rPr>
            <w:rStyle w:val="Jegyzkhivatkozs"/>
            <w:rFonts w:eastAsia="" w:cs="" w:ascii="Calibri" w:hAnsi="Calibri" w:asciiTheme="minorHAnsi" w:cstheme="minorBidi" w:eastAsiaTheme="minorEastAsia" w:hAnsiTheme="minorHAnsi"/>
            <w:sz w:val="22"/>
            <w:lang w:eastAsia="hu-HU"/>
          </w:rPr>
          <w:tab/>
        </w:r>
        <w:r>
          <w:rPr>
            <w:rStyle w:val="Jegyzkhivatkozs"/>
          </w:rPr>
          <w:t>Az üzemeltetéshez szükséges engedélyezési dokumentációk elkészítése</w:t>
        </w:r>
        <w:r>
          <w:rPr>
            <w:webHidden/>
          </w:rPr>
          <w:fldChar w:fldCharType="begin"/>
        </w:r>
        <w:r>
          <w:rPr>
            <w:webHidden/>
          </w:rPr>
          <w:instrText>PAGEREF _Toc453756427 \h</w:instrText>
        </w:r>
        <w:r>
          <w:rPr>
            <w:webHidden/>
          </w:rPr>
          <w:fldChar w:fldCharType="separate"/>
        </w:r>
        <w:r>
          <w:rPr>
            <w:rStyle w:val="Jegyzkhivatkozs"/>
            <w:vanish w:val="false"/>
          </w:rPr>
          <w:tab/>
          <w:t>10</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8">
        <w:r>
          <w:rPr>
            <w:webHidden/>
            <w:rStyle w:val="Jegyzkhivatkozs"/>
            <w:vanish w:val="false"/>
          </w:rPr>
          <w:t>3.9</w:t>
        </w:r>
        <w:r>
          <w:rPr>
            <w:rStyle w:val="Jegyzkhivatkozs"/>
            <w:rFonts w:eastAsia="" w:cs="" w:ascii="Calibri" w:hAnsi="Calibri" w:asciiTheme="minorHAnsi" w:cstheme="minorBidi" w:eastAsiaTheme="minorEastAsia" w:hAnsiTheme="minorHAnsi"/>
            <w:sz w:val="22"/>
            <w:lang w:eastAsia="hu-HU"/>
          </w:rPr>
          <w:tab/>
        </w:r>
        <w:r>
          <w:rPr>
            <w:rStyle w:val="Jegyzkhivatkozs"/>
          </w:rPr>
          <w:t>Tervezési jogosultság, tervezői személyzet</w:t>
        </w:r>
        <w:r>
          <w:rPr>
            <w:webHidden/>
          </w:rPr>
          <w:fldChar w:fldCharType="begin"/>
        </w:r>
        <w:r>
          <w:rPr>
            <w:webHidden/>
          </w:rPr>
          <w:instrText>PAGEREF _Toc453756428 \h</w:instrText>
        </w:r>
        <w:r>
          <w:rPr>
            <w:webHidden/>
          </w:rPr>
          <w:fldChar w:fldCharType="separate"/>
        </w:r>
        <w:r>
          <w:rPr>
            <w:rStyle w:val="Jegyzkhivatkozs"/>
            <w:vanish w:val="false"/>
          </w:rPr>
          <w:tab/>
          <w:t>10</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29">
        <w:r>
          <w:rPr>
            <w:webHidden/>
            <w:rStyle w:val="Jegyzkhivatkozs"/>
            <w:vanish w:val="false"/>
          </w:rPr>
          <w:t>3.10</w:t>
        </w:r>
        <w:r>
          <w:rPr>
            <w:rStyle w:val="Jegyzkhivatkozs"/>
            <w:rFonts w:eastAsia="" w:cs="" w:ascii="Calibri" w:hAnsi="Calibri" w:asciiTheme="minorHAnsi" w:cstheme="minorBidi" w:eastAsiaTheme="minorEastAsia" w:hAnsiTheme="minorHAnsi"/>
            <w:sz w:val="22"/>
            <w:lang w:eastAsia="hu-HU"/>
          </w:rPr>
          <w:tab/>
        </w:r>
        <w:r>
          <w:rPr>
            <w:rStyle w:val="Jegyzkhivatkozs"/>
          </w:rPr>
          <w:t>Általános előírások továbbtervezéshez</w:t>
        </w:r>
        <w:r>
          <w:rPr>
            <w:webHidden/>
          </w:rPr>
          <w:fldChar w:fldCharType="begin"/>
        </w:r>
        <w:r>
          <w:rPr>
            <w:webHidden/>
          </w:rPr>
          <w:instrText>PAGEREF _Toc453756429 \h</w:instrText>
        </w:r>
        <w:r>
          <w:rPr>
            <w:webHidden/>
          </w:rPr>
          <w:fldChar w:fldCharType="separate"/>
        </w:r>
        <w:r>
          <w:rPr>
            <w:rStyle w:val="Jegyzkhivatkozs"/>
            <w:vanish w:val="false"/>
          </w:rPr>
          <w:tab/>
          <w:t>10</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30">
        <w:r>
          <w:rPr>
            <w:webHidden/>
            <w:rStyle w:val="Jegyzkhivatkozs"/>
            <w:vanish w:val="false"/>
          </w:rPr>
          <w:t>4</w:t>
        </w:r>
        <w:r>
          <w:rPr>
            <w:rStyle w:val="Jegyzkhivatkozs"/>
            <w:rFonts w:eastAsia="" w:cs="" w:ascii="Calibri" w:hAnsi="Calibri" w:asciiTheme="minorHAnsi" w:cstheme="minorBidi" w:eastAsiaTheme="minorEastAsia" w:hAnsiTheme="minorHAnsi"/>
            <w:sz w:val="22"/>
            <w:lang w:eastAsia="hu-HU"/>
          </w:rPr>
          <w:tab/>
        </w:r>
        <w:r>
          <w:rPr>
            <w:rStyle w:val="Jegyzkhivatkozs"/>
          </w:rPr>
          <w:t>Szabványok, előírások</w:t>
        </w:r>
        <w:r>
          <w:rPr>
            <w:webHidden/>
          </w:rPr>
          <w:fldChar w:fldCharType="begin"/>
        </w:r>
        <w:r>
          <w:rPr>
            <w:webHidden/>
          </w:rPr>
          <w:instrText>PAGEREF _Toc453756430 \h</w:instrText>
        </w:r>
        <w:r>
          <w:rPr>
            <w:webHidden/>
          </w:rPr>
          <w:fldChar w:fldCharType="separate"/>
        </w:r>
        <w:r>
          <w:rPr>
            <w:rStyle w:val="Jegyzkhivatkozs"/>
            <w:vanish w:val="false"/>
          </w:rPr>
          <w:tab/>
          <w:t>11</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31">
        <w:r>
          <w:rPr>
            <w:webHidden/>
            <w:rStyle w:val="Jegyzkhivatkozs"/>
            <w:vanish w:val="false"/>
          </w:rPr>
          <w:t>5</w:t>
        </w:r>
        <w:r>
          <w:rPr>
            <w:rStyle w:val="Jegyzkhivatkozs"/>
            <w:rFonts w:eastAsia="" w:cs="" w:ascii="Calibri" w:hAnsi="Calibri" w:asciiTheme="minorHAnsi" w:cstheme="minorBidi" w:eastAsiaTheme="minorEastAsia" w:hAnsiTheme="minorHAnsi"/>
            <w:sz w:val="22"/>
            <w:lang w:eastAsia="hu-HU"/>
          </w:rPr>
          <w:tab/>
        </w:r>
        <w:r>
          <w:rPr>
            <w:rStyle w:val="Jegyzkhivatkozs"/>
          </w:rPr>
          <w:t>A szerződés teljesítésével kapcsolatos általános követelmények</w:t>
        </w:r>
        <w:r>
          <w:rPr>
            <w:webHidden/>
          </w:rPr>
          <w:fldChar w:fldCharType="begin"/>
        </w:r>
        <w:r>
          <w:rPr>
            <w:webHidden/>
          </w:rPr>
          <w:instrText>PAGEREF _Toc453756431 \h</w:instrText>
        </w:r>
        <w:r>
          <w:rPr>
            <w:webHidden/>
          </w:rPr>
          <w:fldChar w:fldCharType="separate"/>
        </w:r>
        <w:r>
          <w:rPr>
            <w:rStyle w:val="Jegyzkhivatkozs"/>
            <w:vanish w:val="false"/>
          </w:rPr>
          <w:tab/>
          <w:t>11</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32">
        <w:r>
          <w:rPr>
            <w:webHidden/>
            <w:rStyle w:val="Jegyzkhivatkozs"/>
            <w:vanish w:val="false"/>
          </w:rPr>
          <w:t>5.1</w:t>
        </w:r>
        <w:r>
          <w:rPr>
            <w:rStyle w:val="Jegyzkhivatkozs"/>
            <w:rFonts w:eastAsia="" w:cs="" w:ascii="Calibri" w:hAnsi="Calibri" w:asciiTheme="minorHAnsi" w:cstheme="minorBidi" w:eastAsiaTheme="minorEastAsia" w:hAnsiTheme="minorHAnsi"/>
            <w:sz w:val="22"/>
            <w:lang w:eastAsia="hu-HU"/>
          </w:rPr>
          <w:tab/>
        </w:r>
        <w:r>
          <w:rPr>
            <w:rStyle w:val="Jegyzkhivatkozs"/>
          </w:rPr>
          <w:t>Minőségbiztosítás és Minőségellenőrzés</w:t>
        </w:r>
        <w:r>
          <w:rPr>
            <w:webHidden/>
          </w:rPr>
          <w:fldChar w:fldCharType="begin"/>
        </w:r>
        <w:r>
          <w:rPr>
            <w:webHidden/>
          </w:rPr>
          <w:instrText>PAGEREF _Toc453756432 \h</w:instrText>
        </w:r>
        <w:r>
          <w:rPr>
            <w:webHidden/>
          </w:rPr>
          <w:fldChar w:fldCharType="separate"/>
        </w:r>
        <w:r>
          <w:rPr>
            <w:rStyle w:val="Jegyzkhivatkozs"/>
            <w:vanish w:val="false"/>
          </w:rPr>
          <w:tab/>
          <w:t>11</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33">
        <w:r>
          <w:rPr>
            <w:webHidden/>
            <w:rStyle w:val="Jegyzkhivatkozs"/>
            <w:vanish w:val="false"/>
          </w:rPr>
          <w:t>5.1.1</w:t>
        </w:r>
        <w:r>
          <w:rPr>
            <w:rStyle w:val="Jegyzkhivatkozs"/>
            <w:rFonts w:eastAsia="" w:cs="" w:ascii="Calibri" w:hAnsi="Calibri" w:asciiTheme="minorHAnsi" w:cstheme="minorBidi" w:eastAsiaTheme="minorEastAsia" w:hAnsiTheme="minorHAnsi"/>
            <w:sz w:val="22"/>
            <w:lang w:eastAsia="hu-HU"/>
          </w:rPr>
          <w:tab/>
        </w:r>
        <w:r>
          <w:rPr>
            <w:rStyle w:val="Jegyzkhivatkozs"/>
          </w:rPr>
          <w:t>Minőségirányítási dokumentáció</w:t>
        </w:r>
        <w:r>
          <w:rPr>
            <w:webHidden/>
          </w:rPr>
          <w:fldChar w:fldCharType="begin"/>
        </w:r>
        <w:r>
          <w:rPr>
            <w:webHidden/>
          </w:rPr>
          <w:instrText>PAGEREF _Toc453756433 \h</w:instrText>
        </w:r>
        <w:r>
          <w:rPr>
            <w:webHidden/>
          </w:rPr>
          <w:fldChar w:fldCharType="separate"/>
        </w:r>
        <w:r>
          <w:rPr>
            <w:rStyle w:val="Jegyzkhivatkozs"/>
            <w:vanish w:val="false"/>
          </w:rPr>
          <w:tab/>
          <w:t>11</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34">
        <w:r>
          <w:rPr>
            <w:webHidden/>
            <w:rStyle w:val="Jegyzkhivatkozs"/>
            <w:vanish w:val="false"/>
          </w:rPr>
          <w:t>5.1.2</w:t>
        </w:r>
        <w:r>
          <w:rPr>
            <w:rStyle w:val="Jegyzkhivatkozs"/>
            <w:rFonts w:eastAsia="" w:cs="" w:ascii="Calibri" w:hAnsi="Calibri" w:asciiTheme="minorHAnsi" w:cstheme="minorBidi" w:eastAsiaTheme="minorEastAsia" w:hAnsiTheme="minorHAnsi"/>
            <w:sz w:val="22"/>
            <w:lang w:eastAsia="hu-HU"/>
          </w:rPr>
          <w:tab/>
        </w:r>
        <w:r>
          <w:rPr>
            <w:rStyle w:val="Jegyzkhivatkozs"/>
          </w:rPr>
          <w:t>Minőségellenőrzés</w:t>
        </w:r>
        <w:r>
          <w:rPr>
            <w:webHidden/>
          </w:rPr>
          <w:fldChar w:fldCharType="begin"/>
        </w:r>
        <w:r>
          <w:rPr>
            <w:webHidden/>
          </w:rPr>
          <w:instrText>PAGEREF _Toc453756434 \h</w:instrText>
        </w:r>
        <w:r>
          <w:rPr>
            <w:webHidden/>
          </w:rPr>
          <w:fldChar w:fldCharType="separate"/>
        </w:r>
        <w:r>
          <w:rPr>
            <w:rStyle w:val="Jegyzkhivatkozs"/>
            <w:vanish w:val="false"/>
          </w:rPr>
          <w:tab/>
          <w:t>12</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35">
        <w:r>
          <w:rPr>
            <w:webHidden/>
            <w:rStyle w:val="Jegyzkhivatkozs"/>
            <w:vanish w:val="false"/>
          </w:rPr>
          <w:t>5.2</w:t>
        </w:r>
        <w:r>
          <w:rPr>
            <w:rStyle w:val="Jegyzkhivatkozs"/>
            <w:rFonts w:eastAsia="" w:cs="" w:ascii="Calibri" w:hAnsi="Calibri" w:asciiTheme="minorHAnsi" w:cstheme="minorBidi" w:eastAsiaTheme="minorEastAsia" w:hAnsiTheme="minorHAnsi"/>
            <w:sz w:val="22"/>
            <w:lang w:eastAsia="hu-HU"/>
          </w:rPr>
          <w:tab/>
        </w:r>
        <w:r>
          <w:rPr>
            <w:rStyle w:val="Jegyzkhivatkozs"/>
          </w:rPr>
          <w:t>Környezetvédelem</w:t>
        </w:r>
        <w:r>
          <w:rPr>
            <w:webHidden/>
          </w:rPr>
          <w:fldChar w:fldCharType="begin"/>
        </w:r>
        <w:r>
          <w:rPr>
            <w:webHidden/>
          </w:rPr>
          <w:instrText>PAGEREF _Toc453756435 \h</w:instrText>
        </w:r>
        <w:r>
          <w:rPr>
            <w:webHidden/>
          </w:rPr>
          <w:fldChar w:fldCharType="separate"/>
        </w:r>
        <w:r>
          <w:rPr>
            <w:rStyle w:val="Jegyzkhivatkozs"/>
            <w:vanish w:val="false"/>
          </w:rPr>
          <w:tab/>
          <w:t>14</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36">
        <w:r>
          <w:rPr>
            <w:webHidden/>
            <w:rStyle w:val="Jegyzkhivatkozs"/>
            <w:vanish w:val="false"/>
          </w:rPr>
          <w:t>5.2.1</w:t>
        </w:r>
        <w:r>
          <w:rPr>
            <w:rStyle w:val="Jegyzkhivatkozs"/>
            <w:rFonts w:eastAsia="" w:cs="" w:ascii="Calibri" w:hAnsi="Calibri" w:asciiTheme="minorHAnsi" w:cstheme="minorBidi" w:eastAsiaTheme="minorEastAsia" w:hAnsiTheme="minorHAnsi"/>
            <w:sz w:val="22"/>
            <w:lang w:eastAsia="hu-HU"/>
          </w:rPr>
          <w:tab/>
        </w:r>
        <w:r>
          <w:rPr>
            <w:rStyle w:val="Jegyzkhivatkozs"/>
          </w:rPr>
          <w:t>Építési hulladék</w:t>
        </w:r>
        <w:r>
          <w:rPr>
            <w:webHidden/>
          </w:rPr>
          <w:fldChar w:fldCharType="begin"/>
        </w:r>
        <w:r>
          <w:rPr>
            <w:webHidden/>
          </w:rPr>
          <w:instrText>PAGEREF _Toc453756436 \h</w:instrText>
        </w:r>
        <w:r>
          <w:rPr>
            <w:webHidden/>
          </w:rPr>
          <w:fldChar w:fldCharType="separate"/>
        </w:r>
        <w:r>
          <w:rPr>
            <w:rStyle w:val="Jegyzkhivatkozs"/>
            <w:vanish w:val="false"/>
          </w:rPr>
          <w:tab/>
          <w:t>14</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37">
        <w:r>
          <w:rPr>
            <w:webHidden/>
            <w:rStyle w:val="Jegyzkhivatkozs"/>
            <w:vanish w:val="false"/>
          </w:rPr>
          <w:t>5.2.2</w:t>
        </w:r>
        <w:r>
          <w:rPr>
            <w:rStyle w:val="Jegyzkhivatkozs"/>
            <w:rFonts w:eastAsia="" w:cs="" w:ascii="Calibri" w:hAnsi="Calibri" w:asciiTheme="minorHAnsi" w:cstheme="minorBidi" w:eastAsiaTheme="minorEastAsia" w:hAnsiTheme="minorHAnsi"/>
            <w:sz w:val="22"/>
            <w:lang w:eastAsia="hu-HU"/>
          </w:rPr>
          <w:tab/>
        </w:r>
        <w:r>
          <w:rPr>
            <w:rStyle w:val="Jegyzkhivatkozs"/>
          </w:rPr>
          <w:t>Egyéb környezetvédelmi követelmények</w:t>
        </w:r>
        <w:r>
          <w:rPr>
            <w:webHidden/>
          </w:rPr>
          <w:fldChar w:fldCharType="begin"/>
        </w:r>
        <w:r>
          <w:rPr>
            <w:webHidden/>
          </w:rPr>
          <w:instrText>PAGEREF _Toc453756437 \h</w:instrText>
        </w:r>
        <w:r>
          <w:rPr>
            <w:webHidden/>
          </w:rPr>
          <w:fldChar w:fldCharType="separate"/>
        </w:r>
        <w:r>
          <w:rPr>
            <w:rStyle w:val="Jegyzkhivatkozs"/>
            <w:vanish w:val="false"/>
          </w:rPr>
          <w:tab/>
          <w:t>15</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38">
        <w:r>
          <w:rPr>
            <w:webHidden/>
            <w:rStyle w:val="Jegyzkhivatkozs"/>
            <w:vanish w:val="false"/>
          </w:rPr>
          <w:t>5.3</w:t>
        </w:r>
        <w:r>
          <w:rPr>
            <w:rStyle w:val="Jegyzkhivatkozs"/>
            <w:rFonts w:eastAsia="" w:cs="" w:ascii="Calibri" w:hAnsi="Calibri" w:asciiTheme="minorHAnsi" w:cstheme="minorBidi" w:eastAsiaTheme="minorEastAsia" w:hAnsiTheme="minorHAnsi"/>
            <w:sz w:val="22"/>
            <w:lang w:eastAsia="hu-HU"/>
          </w:rPr>
          <w:tab/>
        </w:r>
        <w:r>
          <w:rPr>
            <w:rStyle w:val="Jegyzkhivatkozs"/>
          </w:rPr>
          <w:t>A Létesítmény élettartama</w:t>
        </w:r>
        <w:r>
          <w:rPr>
            <w:webHidden/>
          </w:rPr>
          <w:fldChar w:fldCharType="begin"/>
        </w:r>
        <w:r>
          <w:rPr>
            <w:webHidden/>
          </w:rPr>
          <w:instrText>PAGEREF _Toc453756438 \h</w:instrText>
        </w:r>
        <w:r>
          <w:rPr>
            <w:webHidden/>
          </w:rPr>
          <w:fldChar w:fldCharType="separate"/>
        </w:r>
        <w:r>
          <w:rPr>
            <w:rStyle w:val="Jegyzkhivatkozs"/>
            <w:vanish w:val="false"/>
          </w:rPr>
          <w:tab/>
          <w:t>16</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39">
        <w:r>
          <w:rPr>
            <w:webHidden/>
            <w:rStyle w:val="Jegyzkhivatkozs"/>
            <w:vanish w:val="false"/>
          </w:rPr>
          <w:t>5.4</w:t>
        </w:r>
        <w:r>
          <w:rPr>
            <w:rStyle w:val="Jegyzkhivatkozs"/>
            <w:rFonts w:eastAsia="" w:cs="" w:ascii="Calibri" w:hAnsi="Calibri" w:asciiTheme="minorHAnsi" w:cstheme="minorBidi" w:eastAsiaTheme="minorEastAsia" w:hAnsiTheme="minorHAnsi"/>
            <w:sz w:val="22"/>
            <w:lang w:eastAsia="hu-HU"/>
          </w:rPr>
          <w:tab/>
        </w:r>
        <w:r>
          <w:rPr>
            <w:rStyle w:val="Jegyzkhivatkozs"/>
          </w:rPr>
          <w:t>Munkaterület átadás-átvétele és gondozása</w:t>
        </w:r>
        <w:r>
          <w:rPr>
            <w:webHidden/>
          </w:rPr>
          <w:fldChar w:fldCharType="begin"/>
        </w:r>
        <w:r>
          <w:rPr>
            <w:webHidden/>
          </w:rPr>
          <w:instrText>PAGEREF _Toc453756439 \h</w:instrText>
        </w:r>
        <w:r>
          <w:rPr>
            <w:webHidden/>
          </w:rPr>
          <w:fldChar w:fldCharType="separate"/>
        </w:r>
        <w:r>
          <w:rPr>
            <w:rStyle w:val="Jegyzkhivatkozs"/>
            <w:vanish w:val="false"/>
          </w:rPr>
          <w:tab/>
          <w:t>16</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40">
        <w:r>
          <w:rPr>
            <w:webHidden/>
            <w:rStyle w:val="Jegyzkhivatkozs"/>
            <w:vanish w:val="false"/>
          </w:rPr>
          <w:t>6</w:t>
        </w:r>
        <w:r>
          <w:rPr>
            <w:rStyle w:val="Jegyzkhivatkozs"/>
            <w:rFonts w:eastAsia="" w:cs="" w:ascii="Calibri" w:hAnsi="Calibri" w:asciiTheme="minorHAnsi" w:cstheme="minorBidi" w:eastAsiaTheme="minorEastAsia" w:hAnsiTheme="minorHAnsi"/>
            <w:sz w:val="22"/>
            <w:lang w:eastAsia="hu-HU"/>
          </w:rPr>
          <w:tab/>
        </w:r>
        <w:r>
          <w:rPr>
            <w:rStyle w:val="Jegyzkhivatkozs"/>
          </w:rPr>
          <w:t>Építési napló</w:t>
        </w:r>
        <w:r>
          <w:rPr>
            <w:webHidden/>
          </w:rPr>
          <w:fldChar w:fldCharType="begin"/>
        </w:r>
        <w:r>
          <w:rPr>
            <w:webHidden/>
          </w:rPr>
          <w:instrText>PAGEREF _Toc453756440 \h</w:instrText>
        </w:r>
        <w:r>
          <w:rPr>
            <w:webHidden/>
          </w:rPr>
          <w:fldChar w:fldCharType="separate"/>
        </w:r>
        <w:r>
          <w:rPr>
            <w:rStyle w:val="Jegyzkhivatkozs"/>
            <w:vanish w:val="false"/>
          </w:rPr>
          <w:tab/>
          <w:t>20</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41">
        <w:r>
          <w:rPr>
            <w:webHidden/>
            <w:rStyle w:val="Jegyzkhivatkozs"/>
            <w:vanish w:val="false"/>
          </w:rPr>
          <w:t>7</w:t>
        </w:r>
        <w:r>
          <w:rPr>
            <w:rStyle w:val="Jegyzkhivatkozs"/>
            <w:rFonts w:eastAsia="" w:cs="" w:ascii="Calibri" w:hAnsi="Calibri" w:asciiTheme="minorHAnsi" w:cstheme="minorBidi" w:eastAsiaTheme="minorEastAsia" w:hAnsiTheme="minorHAnsi"/>
            <w:sz w:val="22"/>
            <w:lang w:eastAsia="hu-HU"/>
          </w:rPr>
          <w:tab/>
        </w:r>
        <w:r>
          <w:rPr>
            <w:rStyle w:val="Jegyzkhivatkozs"/>
          </w:rPr>
          <w:t>Közterületen végzett munkák, közterület-használat</w:t>
        </w:r>
        <w:r>
          <w:rPr>
            <w:webHidden/>
          </w:rPr>
          <w:fldChar w:fldCharType="begin"/>
        </w:r>
        <w:r>
          <w:rPr>
            <w:webHidden/>
          </w:rPr>
          <w:instrText>PAGEREF _Toc453756441 \h</w:instrText>
        </w:r>
        <w:r>
          <w:rPr>
            <w:webHidden/>
          </w:rPr>
          <w:fldChar w:fldCharType="separate"/>
        </w:r>
        <w:r>
          <w:rPr>
            <w:rStyle w:val="Jegyzkhivatkozs"/>
            <w:vanish w:val="false"/>
          </w:rPr>
          <w:tab/>
          <w:t>20</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42">
        <w:r>
          <w:rPr>
            <w:webHidden/>
            <w:rStyle w:val="Jegyzkhivatkozs"/>
            <w:vanish w:val="false"/>
          </w:rPr>
          <w:t>8</w:t>
        </w:r>
        <w:r>
          <w:rPr>
            <w:rStyle w:val="Jegyzkhivatkozs"/>
            <w:rFonts w:eastAsia="" w:cs="" w:ascii="Calibri" w:hAnsi="Calibri" w:asciiTheme="minorHAnsi" w:cstheme="minorBidi" w:eastAsiaTheme="minorEastAsia" w:hAnsiTheme="minorHAnsi"/>
            <w:sz w:val="22"/>
            <w:lang w:eastAsia="hu-HU"/>
          </w:rPr>
          <w:tab/>
        </w:r>
        <w:r>
          <w:rPr>
            <w:rStyle w:val="Jegyzkhivatkozs"/>
          </w:rPr>
          <w:t>Közművek, vezetékek</w:t>
        </w:r>
        <w:r>
          <w:rPr>
            <w:webHidden/>
          </w:rPr>
          <w:fldChar w:fldCharType="begin"/>
        </w:r>
        <w:r>
          <w:rPr>
            <w:webHidden/>
          </w:rPr>
          <w:instrText>PAGEREF _Toc453756442 \h</w:instrText>
        </w:r>
        <w:r>
          <w:rPr>
            <w:webHidden/>
          </w:rPr>
          <w:fldChar w:fldCharType="separate"/>
        </w:r>
        <w:r>
          <w:rPr>
            <w:rStyle w:val="Jegyzkhivatkozs"/>
            <w:vanish w:val="false"/>
          </w:rPr>
          <w:tab/>
          <w:t>21</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43">
        <w:r>
          <w:rPr>
            <w:webHidden/>
            <w:rStyle w:val="Jegyzkhivatkozs"/>
            <w:vanish w:val="false"/>
          </w:rPr>
          <w:t>9</w:t>
        </w:r>
        <w:r>
          <w:rPr>
            <w:rStyle w:val="Jegyzkhivatkozs"/>
            <w:rFonts w:eastAsia="" w:cs="" w:ascii="Calibri" w:hAnsi="Calibri" w:asciiTheme="minorHAnsi" w:cstheme="minorBidi" w:eastAsiaTheme="minorEastAsia" w:hAnsiTheme="minorHAnsi"/>
            <w:sz w:val="22"/>
            <w:lang w:eastAsia="hu-HU"/>
          </w:rPr>
          <w:tab/>
        </w:r>
        <w:r>
          <w:rPr>
            <w:rStyle w:val="Jegyzkhivatkozs"/>
          </w:rPr>
          <w:t>Üzempróbák, Műszaki átadás-átvétel</w:t>
        </w:r>
        <w:r>
          <w:rPr>
            <w:webHidden/>
          </w:rPr>
          <w:fldChar w:fldCharType="begin"/>
        </w:r>
        <w:r>
          <w:rPr>
            <w:webHidden/>
          </w:rPr>
          <w:instrText>PAGEREF _Toc453756443 \h</w:instrText>
        </w:r>
        <w:r>
          <w:rPr>
            <w:webHidden/>
          </w:rPr>
          <w:fldChar w:fldCharType="separate"/>
        </w:r>
        <w:r>
          <w:rPr>
            <w:rStyle w:val="Jegyzkhivatkozs"/>
            <w:vanish w:val="false"/>
          </w:rPr>
          <w:tab/>
          <w:t>23</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44">
        <w:r>
          <w:rPr>
            <w:webHidden/>
            <w:rStyle w:val="Jegyzkhivatkozs"/>
            <w:vanish w:val="false"/>
          </w:rPr>
          <w:t>9.1.1</w:t>
        </w:r>
        <w:r>
          <w:rPr>
            <w:rStyle w:val="Jegyzkhivatkozs"/>
            <w:rFonts w:eastAsia="" w:cs="" w:ascii="Calibri" w:hAnsi="Calibri" w:asciiTheme="minorHAnsi" w:cstheme="minorBidi" w:eastAsiaTheme="minorEastAsia" w:hAnsiTheme="minorHAnsi"/>
            <w:sz w:val="22"/>
            <w:lang w:eastAsia="hu-HU"/>
          </w:rPr>
          <w:tab/>
        </w:r>
        <w:r>
          <w:rPr>
            <w:rStyle w:val="Jegyzkhivatkozs"/>
          </w:rPr>
          <w:t>Nyíltárkos geodéziai bemérés</w:t>
        </w:r>
        <w:r>
          <w:rPr>
            <w:webHidden/>
          </w:rPr>
          <w:fldChar w:fldCharType="begin"/>
        </w:r>
        <w:r>
          <w:rPr>
            <w:webHidden/>
          </w:rPr>
          <w:instrText>PAGEREF _Toc453756444 \h</w:instrText>
        </w:r>
        <w:r>
          <w:rPr>
            <w:webHidden/>
          </w:rPr>
          <w:fldChar w:fldCharType="separate"/>
        </w:r>
        <w:r>
          <w:rPr>
            <w:rStyle w:val="Jegyzkhivatkozs"/>
            <w:vanish w:val="false"/>
          </w:rPr>
          <w:tab/>
          <w:t>23</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45">
        <w:r>
          <w:rPr>
            <w:webHidden/>
            <w:rStyle w:val="Jegyzkhivatkozs"/>
            <w:vanish w:val="false"/>
          </w:rPr>
          <w:t>9.1.2</w:t>
        </w:r>
        <w:r>
          <w:rPr>
            <w:rStyle w:val="Jegyzkhivatkozs"/>
            <w:rFonts w:eastAsia="" w:cs="" w:ascii="Calibri" w:hAnsi="Calibri" w:asciiTheme="minorHAnsi" w:cstheme="minorBidi" w:eastAsiaTheme="minorEastAsia" w:hAnsiTheme="minorHAnsi"/>
            <w:sz w:val="22"/>
            <w:lang w:eastAsia="hu-HU"/>
          </w:rPr>
          <w:tab/>
        </w:r>
        <w:r>
          <w:rPr>
            <w:rStyle w:val="Jegyzkhivatkozs"/>
          </w:rPr>
          <w:t>Csatornák vízzárósági vizsgálata</w:t>
        </w:r>
        <w:r>
          <w:rPr>
            <w:webHidden/>
          </w:rPr>
          <w:fldChar w:fldCharType="begin"/>
        </w:r>
        <w:r>
          <w:rPr>
            <w:webHidden/>
          </w:rPr>
          <w:instrText>PAGEREF _Toc453756445 \h</w:instrText>
        </w:r>
        <w:r>
          <w:rPr>
            <w:webHidden/>
          </w:rPr>
          <w:fldChar w:fldCharType="separate"/>
        </w:r>
        <w:r>
          <w:rPr>
            <w:rStyle w:val="Jegyzkhivatkozs"/>
            <w:vanish w:val="false"/>
          </w:rPr>
          <w:tab/>
          <w:t>24</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46">
        <w:r>
          <w:rPr>
            <w:webHidden/>
            <w:rStyle w:val="Jegyzkhivatkozs"/>
            <w:vanish w:val="false"/>
          </w:rPr>
          <w:t>9.1.3</w:t>
        </w:r>
        <w:r>
          <w:rPr>
            <w:rStyle w:val="Jegyzkhivatkozs"/>
            <w:rFonts w:eastAsia="" w:cs="" w:ascii="Calibri" w:hAnsi="Calibri" w:asciiTheme="minorHAnsi" w:cstheme="minorBidi" w:eastAsiaTheme="minorEastAsia" w:hAnsiTheme="minorHAnsi"/>
            <w:sz w:val="22"/>
            <w:lang w:eastAsia="hu-HU"/>
          </w:rPr>
          <w:tab/>
        </w:r>
        <w:r>
          <w:rPr>
            <w:rStyle w:val="Jegyzkhivatkozs"/>
          </w:rPr>
          <w:t>Csatornák kamerás vizsgálata</w:t>
        </w:r>
        <w:r>
          <w:rPr>
            <w:webHidden/>
          </w:rPr>
          <w:fldChar w:fldCharType="begin"/>
        </w:r>
        <w:r>
          <w:rPr>
            <w:webHidden/>
          </w:rPr>
          <w:instrText>PAGEREF _Toc453756446 \h</w:instrText>
        </w:r>
        <w:r>
          <w:rPr>
            <w:webHidden/>
          </w:rPr>
          <w:fldChar w:fldCharType="separate"/>
        </w:r>
        <w:r>
          <w:rPr>
            <w:rStyle w:val="Jegyzkhivatkozs"/>
            <w:vanish w:val="false"/>
          </w:rPr>
          <w:tab/>
          <w:t>25</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47">
        <w:r>
          <w:rPr>
            <w:webHidden/>
            <w:rStyle w:val="Jegyzkhivatkozs"/>
            <w:vanish w:val="false"/>
          </w:rPr>
          <w:t>10</w:t>
        </w:r>
        <w:r>
          <w:rPr>
            <w:rStyle w:val="Jegyzkhivatkozs"/>
            <w:rFonts w:eastAsia="" w:cs="" w:ascii="Calibri" w:hAnsi="Calibri" w:asciiTheme="minorHAnsi" w:cstheme="minorBidi" w:eastAsiaTheme="minorEastAsia" w:hAnsiTheme="minorHAnsi"/>
            <w:sz w:val="22"/>
            <w:lang w:eastAsia="hu-HU"/>
          </w:rPr>
          <w:tab/>
        </w:r>
        <w:r>
          <w:rPr>
            <w:rStyle w:val="Jegyzkhivatkozs"/>
          </w:rPr>
          <w:t>Garancia</w:t>
        </w:r>
        <w:r>
          <w:rPr>
            <w:webHidden/>
          </w:rPr>
          <w:fldChar w:fldCharType="begin"/>
        </w:r>
        <w:r>
          <w:rPr>
            <w:webHidden/>
          </w:rPr>
          <w:instrText>PAGEREF _Toc453756447 \h</w:instrText>
        </w:r>
        <w:r>
          <w:rPr>
            <w:webHidden/>
          </w:rPr>
          <w:fldChar w:fldCharType="separate"/>
        </w:r>
        <w:r>
          <w:rPr>
            <w:rStyle w:val="Jegyzkhivatkozs"/>
            <w:vanish w:val="false"/>
          </w:rPr>
          <w:tab/>
          <w:t>25</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48">
        <w:r>
          <w:rPr>
            <w:webHidden/>
            <w:rStyle w:val="Jegyzkhivatkozs"/>
            <w:vanish w:val="false"/>
          </w:rPr>
          <w:t>II.</w:t>
        </w:r>
        <w:r>
          <w:rPr>
            <w:rStyle w:val="Jegyzkhivatkozs"/>
            <w:rFonts w:eastAsia="" w:cs="" w:ascii="Calibri" w:hAnsi="Calibri" w:asciiTheme="minorHAnsi" w:cstheme="minorBidi" w:eastAsiaTheme="minorEastAsia" w:hAnsiTheme="minorHAnsi"/>
            <w:sz w:val="22"/>
            <w:lang w:eastAsia="hu-HU"/>
          </w:rPr>
          <w:tab/>
        </w:r>
        <w:r>
          <w:rPr>
            <w:rStyle w:val="Jegyzkhivatkozs"/>
          </w:rPr>
          <w:t>FEJEZET: JOGSZABÁLYOK, SZABVÁNYOK, ELŐÍRÁSOK</w:t>
        </w:r>
        <w:r>
          <w:rPr>
            <w:webHidden/>
          </w:rPr>
          <w:fldChar w:fldCharType="begin"/>
        </w:r>
        <w:r>
          <w:rPr>
            <w:webHidden/>
          </w:rPr>
          <w:instrText>PAGEREF _Toc453756448 \h</w:instrText>
        </w:r>
        <w:r>
          <w:rPr>
            <w:webHidden/>
          </w:rPr>
          <w:fldChar w:fldCharType="separate"/>
        </w:r>
        <w:r>
          <w:rPr>
            <w:rStyle w:val="Jegyzkhivatkozs"/>
            <w:vanish w:val="false"/>
          </w:rPr>
          <w:tab/>
          <w:t>25</w:t>
        </w:r>
        <w:r>
          <w:rPr>
            <w:webHidden/>
          </w:rPr>
          <w:fldChar w:fldCharType="end"/>
        </w:r>
      </w:hyperlink>
    </w:p>
    <w:p>
      <w:pPr>
        <w:pStyle w:val="Tartalomjegyzk1"/>
        <w:tabs>
          <w:tab w:val="left" w:pos="660" w:leader="none"/>
          <w:tab w:val="right" w:pos="9402" w:leader="dot"/>
        </w:tabs>
        <w:rPr>
          <w:rFonts w:ascii="Calibri" w:hAnsi="Calibri" w:eastAsia="" w:cs="" w:asciiTheme="minorHAnsi" w:cstheme="minorBidi" w:eastAsiaTheme="minorEastAsia" w:hAnsiTheme="minorHAnsi"/>
          <w:sz w:val="22"/>
          <w:lang w:eastAsia="hu-HU"/>
        </w:rPr>
      </w:pPr>
      <w:hyperlink w:anchor="_Toc453756449">
        <w:r>
          <w:rPr>
            <w:webHidden/>
            <w:rStyle w:val="Jegyzkhivatkozs"/>
            <w:vanish w:val="false"/>
          </w:rPr>
          <w:t>III.</w:t>
        </w:r>
        <w:r>
          <w:rPr>
            <w:rStyle w:val="Jegyzkhivatkozs"/>
            <w:rFonts w:eastAsia="" w:cs="" w:ascii="Calibri" w:hAnsi="Calibri" w:asciiTheme="minorHAnsi" w:cstheme="minorBidi" w:eastAsiaTheme="minorEastAsia" w:hAnsiTheme="minorHAnsi"/>
            <w:sz w:val="22"/>
            <w:lang w:eastAsia="hu-HU"/>
          </w:rPr>
          <w:tab/>
        </w:r>
        <w:r>
          <w:rPr>
            <w:rStyle w:val="Jegyzkhivatkozs"/>
          </w:rPr>
          <w:t>FEJEZET: SZENNYVÍZCSATORNA HÁLÓZAT MEGRENDELŐI MŰSZAKI KÖVETELMÉNYEI</w:t>
        </w:r>
        <w:r>
          <w:rPr>
            <w:webHidden/>
          </w:rPr>
          <w:fldChar w:fldCharType="begin"/>
        </w:r>
        <w:r>
          <w:rPr>
            <w:webHidden/>
          </w:rPr>
          <w:instrText>PAGEREF _Toc453756449 \h</w:instrText>
        </w:r>
        <w:r>
          <w:rPr>
            <w:webHidden/>
          </w:rPr>
          <w:fldChar w:fldCharType="separate"/>
        </w:r>
        <w:r>
          <w:rPr>
            <w:rStyle w:val="Jegyzkhivatkozs"/>
            <w:vanish w:val="false"/>
          </w:rPr>
          <w:tab/>
          <w:t>31</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50">
        <w:r>
          <w:rPr>
            <w:webHidden/>
            <w:rStyle w:val="Jegyzkhivatkozs"/>
            <w:vanish w:val="false"/>
          </w:rPr>
          <w:t>1</w:t>
        </w:r>
        <w:r>
          <w:rPr>
            <w:rStyle w:val="Jegyzkhivatkozs"/>
            <w:rFonts w:eastAsia="" w:cs="" w:ascii="Calibri" w:hAnsi="Calibri" w:asciiTheme="minorHAnsi" w:cstheme="minorBidi" w:eastAsiaTheme="minorEastAsia" w:hAnsiTheme="minorHAnsi"/>
            <w:sz w:val="22"/>
            <w:lang w:eastAsia="hu-HU"/>
          </w:rPr>
          <w:tab/>
        </w:r>
        <w:r>
          <w:rPr>
            <w:rStyle w:val="Jegyzkhivatkozs"/>
          </w:rPr>
          <w:t>Irtási munkák</w:t>
        </w:r>
        <w:r>
          <w:rPr>
            <w:webHidden/>
          </w:rPr>
          <w:fldChar w:fldCharType="begin"/>
        </w:r>
        <w:r>
          <w:rPr>
            <w:webHidden/>
          </w:rPr>
          <w:instrText>PAGEREF _Toc453756450 \h</w:instrText>
        </w:r>
        <w:r>
          <w:rPr>
            <w:webHidden/>
          </w:rPr>
          <w:fldChar w:fldCharType="separate"/>
        </w:r>
        <w:r>
          <w:rPr>
            <w:rStyle w:val="Jegyzkhivatkozs"/>
            <w:vanish w:val="false"/>
          </w:rPr>
          <w:tab/>
          <w:t>31</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51">
        <w:r>
          <w:rPr>
            <w:webHidden/>
            <w:rStyle w:val="Jegyzkhivatkozs"/>
            <w:vanish w:val="false"/>
          </w:rPr>
          <w:t>1.1</w:t>
        </w:r>
        <w:r>
          <w:rPr>
            <w:rStyle w:val="Jegyzkhivatkozs"/>
            <w:rFonts w:eastAsia="" w:cs="" w:ascii="Calibri" w:hAnsi="Calibri" w:asciiTheme="minorHAnsi" w:cstheme="minorBidi" w:eastAsiaTheme="minorEastAsia" w:hAnsiTheme="minorHAnsi"/>
            <w:sz w:val="22"/>
            <w:lang w:eastAsia="hu-HU"/>
          </w:rPr>
          <w:tab/>
        </w:r>
        <w:r>
          <w:rPr>
            <w:rStyle w:val="Jegyzkhivatkozs"/>
          </w:rPr>
          <w:t>Irtási munkák határa</w:t>
        </w:r>
        <w:r>
          <w:rPr>
            <w:webHidden/>
          </w:rPr>
          <w:fldChar w:fldCharType="begin"/>
        </w:r>
        <w:r>
          <w:rPr>
            <w:webHidden/>
          </w:rPr>
          <w:instrText>PAGEREF _Toc453756451 \h</w:instrText>
        </w:r>
        <w:r>
          <w:rPr>
            <w:webHidden/>
          </w:rPr>
          <w:fldChar w:fldCharType="separate"/>
        </w:r>
        <w:r>
          <w:rPr>
            <w:rStyle w:val="Jegyzkhivatkozs"/>
            <w:vanish w:val="false"/>
          </w:rPr>
          <w:tab/>
          <w:t>31</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52">
        <w:r>
          <w:rPr>
            <w:webHidden/>
            <w:rStyle w:val="Jegyzkhivatkozs"/>
            <w:vanish w:val="false"/>
          </w:rPr>
          <w:t>1.2</w:t>
        </w:r>
        <w:r>
          <w:rPr>
            <w:rStyle w:val="Jegyzkhivatkozs"/>
            <w:rFonts w:eastAsia="" w:cs="" w:ascii="Calibri" w:hAnsi="Calibri" w:asciiTheme="minorHAnsi" w:cstheme="minorBidi" w:eastAsiaTheme="minorEastAsia" w:hAnsiTheme="minorHAnsi"/>
            <w:sz w:val="22"/>
            <w:lang w:eastAsia="hu-HU"/>
          </w:rPr>
          <w:tab/>
        </w:r>
        <w:r>
          <w:rPr>
            <w:rStyle w:val="Jegyzkhivatkozs"/>
          </w:rPr>
          <w:t>Fakivágás engedélyezése</w:t>
        </w:r>
        <w:r>
          <w:rPr>
            <w:webHidden/>
          </w:rPr>
          <w:fldChar w:fldCharType="begin"/>
        </w:r>
        <w:r>
          <w:rPr>
            <w:webHidden/>
          </w:rPr>
          <w:instrText>PAGEREF _Toc453756452 \h</w:instrText>
        </w:r>
        <w:r>
          <w:rPr>
            <w:webHidden/>
          </w:rPr>
          <w:fldChar w:fldCharType="separate"/>
        </w:r>
        <w:r>
          <w:rPr>
            <w:rStyle w:val="Jegyzkhivatkozs"/>
            <w:vanish w:val="false"/>
          </w:rPr>
          <w:tab/>
          <w:t>31</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53">
        <w:r>
          <w:rPr>
            <w:webHidden/>
            <w:rStyle w:val="Jegyzkhivatkozs"/>
            <w:vanish w:val="false"/>
          </w:rPr>
          <w:t>2</w:t>
        </w:r>
        <w:r>
          <w:rPr>
            <w:rStyle w:val="Jegyzkhivatkozs"/>
            <w:rFonts w:eastAsia="" w:cs="" w:ascii="Calibri" w:hAnsi="Calibri" w:asciiTheme="minorHAnsi" w:cstheme="minorBidi" w:eastAsiaTheme="minorEastAsia" w:hAnsiTheme="minorHAnsi"/>
            <w:sz w:val="22"/>
            <w:lang w:eastAsia="hu-HU"/>
          </w:rPr>
          <w:tab/>
        </w:r>
        <w:r>
          <w:rPr>
            <w:rStyle w:val="Jegyzkhivatkozs"/>
          </w:rPr>
          <w:t>Földmunkák, víztelenítés</w:t>
        </w:r>
        <w:r>
          <w:rPr>
            <w:webHidden/>
          </w:rPr>
          <w:fldChar w:fldCharType="begin"/>
        </w:r>
        <w:r>
          <w:rPr>
            <w:webHidden/>
          </w:rPr>
          <w:instrText>PAGEREF _Toc453756453 \h</w:instrText>
        </w:r>
        <w:r>
          <w:rPr>
            <w:webHidden/>
          </w:rPr>
          <w:fldChar w:fldCharType="separate"/>
        </w:r>
        <w:r>
          <w:rPr>
            <w:rStyle w:val="Jegyzkhivatkozs"/>
            <w:vanish w:val="false"/>
          </w:rPr>
          <w:tab/>
          <w:t>31</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54">
        <w:r>
          <w:rPr>
            <w:webHidden/>
            <w:rStyle w:val="Jegyzkhivatkozs"/>
            <w:vanish w:val="false"/>
          </w:rPr>
          <w:t>2.1</w:t>
        </w:r>
        <w:r>
          <w:rPr>
            <w:rStyle w:val="Jegyzkhivatkozs"/>
            <w:rFonts w:eastAsia="" w:cs="" w:ascii="Calibri" w:hAnsi="Calibri" w:asciiTheme="minorHAnsi" w:cstheme="minorBidi" w:eastAsiaTheme="minorEastAsia" w:hAnsiTheme="minorHAnsi"/>
            <w:sz w:val="22"/>
            <w:lang w:eastAsia="hu-HU"/>
          </w:rPr>
          <w:tab/>
        </w:r>
        <w:r>
          <w:rPr>
            <w:rStyle w:val="Jegyzkhivatkozs"/>
          </w:rPr>
          <w:t>Földkitermelések</w:t>
        </w:r>
        <w:r>
          <w:rPr>
            <w:webHidden/>
          </w:rPr>
          <w:fldChar w:fldCharType="begin"/>
        </w:r>
        <w:r>
          <w:rPr>
            <w:webHidden/>
          </w:rPr>
          <w:instrText>PAGEREF _Toc453756454 \h</w:instrText>
        </w:r>
        <w:r>
          <w:rPr>
            <w:webHidden/>
          </w:rPr>
          <w:fldChar w:fldCharType="separate"/>
        </w:r>
        <w:r>
          <w:rPr>
            <w:rStyle w:val="Jegyzkhivatkozs"/>
            <w:vanish w:val="false"/>
          </w:rPr>
          <w:tab/>
          <w:t>32</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55">
        <w:r>
          <w:rPr>
            <w:webHidden/>
            <w:rStyle w:val="Jegyzkhivatkozs"/>
            <w:vanish w:val="false"/>
          </w:rPr>
          <w:t>2.2</w:t>
        </w:r>
        <w:r>
          <w:rPr>
            <w:rStyle w:val="Jegyzkhivatkozs"/>
            <w:rFonts w:eastAsia="" w:cs="" w:ascii="Calibri" w:hAnsi="Calibri" w:asciiTheme="minorHAnsi" w:cstheme="minorBidi" w:eastAsiaTheme="minorEastAsia" w:hAnsiTheme="minorHAnsi"/>
            <w:sz w:val="22"/>
            <w:lang w:eastAsia="hu-HU"/>
          </w:rPr>
          <w:tab/>
        </w:r>
        <w:r>
          <w:rPr>
            <w:rStyle w:val="Jegyzkhivatkozs"/>
          </w:rPr>
          <w:t>Dúcolás</w:t>
        </w:r>
        <w:r>
          <w:rPr>
            <w:webHidden/>
          </w:rPr>
          <w:fldChar w:fldCharType="begin"/>
        </w:r>
        <w:r>
          <w:rPr>
            <w:webHidden/>
          </w:rPr>
          <w:instrText>PAGEREF _Toc453756455 \h</w:instrText>
        </w:r>
        <w:r>
          <w:rPr>
            <w:webHidden/>
          </w:rPr>
          <w:fldChar w:fldCharType="separate"/>
        </w:r>
        <w:r>
          <w:rPr>
            <w:rStyle w:val="Jegyzkhivatkozs"/>
            <w:vanish w:val="false"/>
          </w:rPr>
          <w:tab/>
          <w:t>34</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56">
        <w:r>
          <w:rPr>
            <w:webHidden/>
            <w:rStyle w:val="Jegyzkhivatkozs"/>
            <w:vanish w:val="false"/>
          </w:rPr>
          <w:t>2.3</w:t>
        </w:r>
        <w:r>
          <w:rPr>
            <w:rStyle w:val="Jegyzkhivatkozs"/>
            <w:rFonts w:eastAsia="" w:cs="" w:ascii="Calibri" w:hAnsi="Calibri" w:asciiTheme="minorHAnsi" w:cstheme="minorBidi" w:eastAsiaTheme="minorEastAsia" w:hAnsiTheme="minorHAnsi"/>
            <w:sz w:val="22"/>
            <w:lang w:eastAsia="hu-HU"/>
          </w:rPr>
          <w:tab/>
        </w:r>
        <w:r>
          <w:rPr>
            <w:rStyle w:val="Jegyzkhivatkozs"/>
          </w:rPr>
          <w:t>Földvisszatöltés</w:t>
        </w:r>
        <w:r>
          <w:rPr>
            <w:webHidden/>
          </w:rPr>
          <w:fldChar w:fldCharType="begin"/>
        </w:r>
        <w:r>
          <w:rPr>
            <w:webHidden/>
          </w:rPr>
          <w:instrText>PAGEREF _Toc453756456 \h</w:instrText>
        </w:r>
        <w:r>
          <w:rPr>
            <w:webHidden/>
          </w:rPr>
          <w:fldChar w:fldCharType="separate"/>
        </w:r>
        <w:r>
          <w:rPr>
            <w:rStyle w:val="Jegyzkhivatkozs"/>
            <w:vanish w:val="false"/>
          </w:rPr>
          <w:tab/>
          <w:t>35</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57">
        <w:r>
          <w:rPr>
            <w:webHidden/>
            <w:rStyle w:val="Jegyzkhivatkozs"/>
            <w:vanish w:val="false"/>
          </w:rPr>
          <w:t>2.3.1</w:t>
        </w:r>
        <w:r>
          <w:rPr>
            <w:rStyle w:val="Jegyzkhivatkozs"/>
            <w:rFonts w:eastAsia="" w:cs="" w:ascii="Calibri" w:hAnsi="Calibri" w:asciiTheme="minorHAnsi" w:cstheme="minorBidi" w:eastAsiaTheme="minorEastAsia" w:hAnsiTheme="minorHAnsi"/>
            <w:sz w:val="22"/>
            <w:lang w:eastAsia="hu-HU"/>
          </w:rPr>
          <w:tab/>
        </w:r>
        <w:r>
          <w:rPr>
            <w:rStyle w:val="Jegyzkhivatkozs"/>
          </w:rPr>
          <w:t>Földvisszatöltések munkaárokba, munkagödörbe</w:t>
        </w:r>
        <w:r>
          <w:rPr>
            <w:webHidden/>
          </w:rPr>
          <w:fldChar w:fldCharType="begin"/>
        </w:r>
        <w:r>
          <w:rPr>
            <w:webHidden/>
          </w:rPr>
          <w:instrText>PAGEREF _Toc453756457 \h</w:instrText>
        </w:r>
        <w:r>
          <w:rPr>
            <w:webHidden/>
          </w:rPr>
          <w:fldChar w:fldCharType="separate"/>
        </w:r>
        <w:r>
          <w:rPr>
            <w:rStyle w:val="Jegyzkhivatkozs"/>
            <w:vanish w:val="false"/>
          </w:rPr>
          <w:tab/>
          <w:t>35</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58">
        <w:r>
          <w:rPr>
            <w:webHidden/>
            <w:rStyle w:val="Jegyzkhivatkozs"/>
            <w:vanish w:val="false"/>
          </w:rPr>
          <w:t>2.3.2</w:t>
        </w:r>
        <w:r>
          <w:rPr>
            <w:rStyle w:val="Jegyzkhivatkozs"/>
            <w:rFonts w:eastAsia="" w:cs="" w:ascii="Calibri" w:hAnsi="Calibri" w:asciiTheme="minorHAnsi" w:cstheme="minorBidi" w:eastAsiaTheme="minorEastAsia" w:hAnsiTheme="minorHAnsi"/>
            <w:sz w:val="22"/>
            <w:lang w:eastAsia="hu-HU"/>
          </w:rPr>
          <w:tab/>
        </w:r>
        <w:r>
          <w:rPr>
            <w:rStyle w:val="Jegyzkhivatkozs"/>
          </w:rPr>
          <w:t>Töltésépítés, földfeltöltés szállítóeszközről leszórt föld elteregetésével</w:t>
        </w:r>
        <w:r>
          <w:rPr>
            <w:webHidden/>
          </w:rPr>
          <w:fldChar w:fldCharType="begin"/>
        </w:r>
        <w:r>
          <w:rPr>
            <w:webHidden/>
          </w:rPr>
          <w:instrText>PAGEREF _Toc453756458 \h</w:instrText>
        </w:r>
        <w:r>
          <w:rPr>
            <w:webHidden/>
          </w:rPr>
          <w:fldChar w:fldCharType="separate"/>
        </w:r>
        <w:r>
          <w:rPr>
            <w:rStyle w:val="Jegyzkhivatkozs"/>
            <w:vanish w:val="false"/>
          </w:rPr>
          <w:tab/>
          <w:t>36</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59">
        <w:r>
          <w:rPr>
            <w:webHidden/>
            <w:rStyle w:val="Jegyzkhivatkozs"/>
            <w:vanish w:val="false"/>
          </w:rPr>
          <w:t>2.3.3</w:t>
        </w:r>
        <w:r>
          <w:rPr>
            <w:rStyle w:val="Jegyzkhivatkozs"/>
            <w:rFonts w:eastAsia="" w:cs="" w:ascii="Calibri" w:hAnsi="Calibri" w:asciiTheme="minorHAnsi" w:cstheme="minorBidi" w:eastAsiaTheme="minorEastAsia" w:hAnsiTheme="minorHAnsi"/>
            <w:sz w:val="22"/>
            <w:lang w:eastAsia="hu-HU"/>
          </w:rPr>
          <w:tab/>
        </w:r>
        <w:r>
          <w:rPr>
            <w:rStyle w:val="Jegyzkhivatkozs"/>
          </w:rPr>
          <w:t>Tereprendezés</w:t>
        </w:r>
        <w:r>
          <w:rPr>
            <w:webHidden/>
          </w:rPr>
          <w:fldChar w:fldCharType="begin"/>
        </w:r>
        <w:r>
          <w:rPr>
            <w:webHidden/>
          </w:rPr>
          <w:instrText>PAGEREF _Toc453756459 \h</w:instrText>
        </w:r>
        <w:r>
          <w:rPr>
            <w:webHidden/>
          </w:rPr>
          <w:fldChar w:fldCharType="separate"/>
        </w:r>
        <w:r>
          <w:rPr>
            <w:rStyle w:val="Jegyzkhivatkozs"/>
            <w:vanish w:val="false"/>
          </w:rPr>
          <w:tab/>
          <w:t>36</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60">
        <w:r>
          <w:rPr>
            <w:webHidden/>
            <w:rStyle w:val="Jegyzkhivatkozs"/>
            <w:vanish w:val="false"/>
          </w:rPr>
          <w:t>2.4</w:t>
        </w:r>
        <w:r>
          <w:rPr>
            <w:rStyle w:val="Jegyzkhivatkozs"/>
            <w:rFonts w:eastAsia="" w:cs="" w:ascii="Calibri" w:hAnsi="Calibri" w:asciiTheme="minorHAnsi" w:cstheme="minorBidi" w:eastAsiaTheme="minorEastAsia" w:hAnsiTheme="minorHAnsi"/>
            <w:sz w:val="22"/>
            <w:lang w:eastAsia="hu-HU"/>
          </w:rPr>
          <w:tab/>
        </w:r>
        <w:r>
          <w:rPr>
            <w:rStyle w:val="Jegyzkhivatkozs"/>
          </w:rPr>
          <w:t>Tömörítés</w:t>
        </w:r>
        <w:r>
          <w:rPr>
            <w:webHidden/>
          </w:rPr>
          <w:fldChar w:fldCharType="begin"/>
        </w:r>
        <w:r>
          <w:rPr>
            <w:webHidden/>
          </w:rPr>
          <w:instrText>PAGEREF _Toc453756460 \h</w:instrText>
        </w:r>
        <w:r>
          <w:rPr>
            <w:webHidden/>
          </w:rPr>
          <w:fldChar w:fldCharType="separate"/>
        </w:r>
        <w:r>
          <w:rPr>
            <w:rStyle w:val="Jegyzkhivatkozs"/>
            <w:vanish w:val="false"/>
          </w:rPr>
          <w:tab/>
          <w:t>36</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61">
        <w:r>
          <w:rPr>
            <w:webHidden/>
            <w:rStyle w:val="Jegyzkhivatkozs"/>
            <w:vanish w:val="false"/>
          </w:rPr>
          <w:t>2.5</w:t>
        </w:r>
        <w:r>
          <w:rPr>
            <w:rStyle w:val="Jegyzkhivatkozs"/>
            <w:rFonts w:eastAsia="" w:cs="" w:ascii="Calibri" w:hAnsi="Calibri" w:asciiTheme="minorHAnsi" w:cstheme="minorBidi" w:eastAsiaTheme="minorEastAsia" w:hAnsiTheme="minorHAnsi"/>
            <w:sz w:val="22"/>
            <w:lang w:eastAsia="hu-HU"/>
          </w:rPr>
          <w:tab/>
        </w:r>
        <w:r>
          <w:rPr>
            <w:rStyle w:val="Jegyzkhivatkozs"/>
          </w:rPr>
          <w:t>Víztelenítés, vízelvezetés, talajvízszint-süllyesztés</w:t>
        </w:r>
        <w:r>
          <w:rPr>
            <w:webHidden/>
          </w:rPr>
          <w:fldChar w:fldCharType="begin"/>
        </w:r>
        <w:r>
          <w:rPr>
            <w:webHidden/>
          </w:rPr>
          <w:instrText>PAGEREF _Toc453756461 \h</w:instrText>
        </w:r>
        <w:r>
          <w:rPr>
            <w:webHidden/>
          </w:rPr>
          <w:fldChar w:fldCharType="separate"/>
        </w:r>
        <w:r>
          <w:rPr>
            <w:rStyle w:val="Jegyzkhivatkozs"/>
            <w:vanish w:val="false"/>
          </w:rPr>
          <w:tab/>
          <w:t>38</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62">
        <w:r>
          <w:rPr>
            <w:webHidden/>
            <w:rStyle w:val="Jegyzkhivatkozs"/>
            <w:vanish w:val="false"/>
          </w:rPr>
          <w:t>2.5.1</w:t>
        </w:r>
        <w:r>
          <w:rPr>
            <w:rStyle w:val="Jegyzkhivatkozs"/>
            <w:rFonts w:eastAsia="" w:cs="" w:ascii="Calibri" w:hAnsi="Calibri" w:asciiTheme="minorHAnsi" w:cstheme="minorBidi" w:eastAsiaTheme="minorEastAsia" w:hAnsiTheme="minorHAnsi"/>
            <w:sz w:val="22"/>
            <w:lang w:eastAsia="hu-HU"/>
          </w:rPr>
          <w:tab/>
        </w:r>
        <w:r>
          <w:rPr>
            <w:rStyle w:val="Jegyzkhivatkozs"/>
          </w:rPr>
          <w:t>Nyílt víztartás</w:t>
        </w:r>
        <w:r>
          <w:rPr>
            <w:webHidden/>
          </w:rPr>
          <w:fldChar w:fldCharType="begin"/>
        </w:r>
        <w:r>
          <w:rPr>
            <w:webHidden/>
          </w:rPr>
          <w:instrText>PAGEREF _Toc453756462 \h</w:instrText>
        </w:r>
        <w:r>
          <w:rPr>
            <w:webHidden/>
          </w:rPr>
          <w:fldChar w:fldCharType="separate"/>
        </w:r>
        <w:r>
          <w:rPr>
            <w:rStyle w:val="Jegyzkhivatkozs"/>
            <w:vanish w:val="false"/>
          </w:rPr>
          <w:tab/>
          <w:t>39</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63">
        <w:r>
          <w:rPr>
            <w:webHidden/>
            <w:rStyle w:val="Jegyzkhivatkozs"/>
            <w:vanish w:val="false"/>
          </w:rPr>
          <w:t>2.5.2</w:t>
        </w:r>
        <w:r>
          <w:rPr>
            <w:rStyle w:val="Jegyzkhivatkozs"/>
            <w:rFonts w:eastAsia="" w:cs="" w:ascii="Calibri" w:hAnsi="Calibri" w:asciiTheme="minorHAnsi" w:cstheme="minorBidi" w:eastAsiaTheme="minorEastAsia" w:hAnsiTheme="minorHAnsi"/>
            <w:sz w:val="22"/>
            <w:lang w:eastAsia="hu-HU"/>
          </w:rPr>
          <w:tab/>
        </w:r>
        <w:r>
          <w:rPr>
            <w:rStyle w:val="Jegyzkhivatkozs"/>
          </w:rPr>
          <w:t>Talajvíz süllyesztés ( zárt víztelenítés)</w:t>
        </w:r>
        <w:r>
          <w:rPr>
            <w:webHidden/>
          </w:rPr>
          <w:fldChar w:fldCharType="begin"/>
        </w:r>
        <w:r>
          <w:rPr>
            <w:webHidden/>
          </w:rPr>
          <w:instrText>PAGEREF _Toc453756463 \h</w:instrText>
        </w:r>
        <w:r>
          <w:rPr>
            <w:webHidden/>
          </w:rPr>
          <w:fldChar w:fldCharType="separate"/>
        </w:r>
        <w:r>
          <w:rPr>
            <w:rStyle w:val="Jegyzkhivatkozs"/>
            <w:vanish w:val="false"/>
          </w:rPr>
          <w:tab/>
          <w:t>39</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64">
        <w:r>
          <w:rPr>
            <w:webHidden/>
            <w:rStyle w:val="Jegyzkhivatkozs"/>
            <w:vanish w:val="false"/>
          </w:rPr>
          <w:t>3</w:t>
        </w:r>
        <w:r>
          <w:rPr>
            <w:rStyle w:val="Jegyzkhivatkozs"/>
            <w:rFonts w:eastAsia="" w:cs="" w:ascii="Calibri" w:hAnsi="Calibri" w:asciiTheme="minorHAnsi" w:cstheme="minorBidi" w:eastAsiaTheme="minorEastAsia" w:hAnsiTheme="minorHAnsi"/>
            <w:sz w:val="22"/>
            <w:lang w:eastAsia="hu-HU"/>
          </w:rPr>
          <w:tab/>
        </w:r>
        <w:r>
          <w:rPr>
            <w:rStyle w:val="Jegyzkhivatkozs"/>
          </w:rPr>
          <w:t>Beton és vasbeton munkák</w:t>
        </w:r>
        <w:r>
          <w:rPr>
            <w:webHidden/>
          </w:rPr>
          <w:fldChar w:fldCharType="begin"/>
        </w:r>
        <w:r>
          <w:rPr>
            <w:webHidden/>
          </w:rPr>
          <w:instrText>PAGEREF _Toc453756464 \h</w:instrText>
        </w:r>
        <w:r>
          <w:rPr>
            <w:webHidden/>
          </w:rPr>
          <w:fldChar w:fldCharType="separate"/>
        </w:r>
        <w:r>
          <w:rPr>
            <w:rStyle w:val="Jegyzkhivatkozs"/>
            <w:vanish w:val="false"/>
          </w:rPr>
          <w:tab/>
          <w:t>40</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65">
        <w:r>
          <w:rPr>
            <w:webHidden/>
            <w:rStyle w:val="Jegyzkhivatkozs"/>
            <w:vanish w:val="false"/>
          </w:rPr>
          <w:t>3.1</w:t>
        </w:r>
        <w:r>
          <w:rPr>
            <w:rStyle w:val="Jegyzkhivatkozs"/>
            <w:rFonts w:eastAsia="" w:cs="" w:ascii="Calibri" w:hAnsi="Calibri" w:asciiTheme="minorHAnsi" w:cstheme="minorBidi" w:eastAsiaTheme="minorEastAsia" w:hAnsiTheme="minorHAnsi"/>
            <w:sz w:val="22"/>
            <w:lang w:eastAsia="hu-HU"/>
          </w:rPr>
          <w:tab/>
        </w:r>
        <w:r>
          <w:rPr>
            <w:rStyle w:val="Jegyzkhivatkozs"/>
          </w:rPr>
          <w:t>Betonminőség - készbeton</w:t>
        </w:r>
        <w:r>
          <w:rPr>
            <w:webHidden/>
          </w:rPr>
          <w:fldChar w:fldCharType="begin"/>
        </w:r>
        <w:r>
          <w:rPr>
            <w:webHidden/>
          </w:rPr>
          <w:instrText>PAGEREF _Toc453756465 \h</w:instrText>
        </w:r>
        <w:r>
          <w:rPr>
            <w:webHidden/>
          </w:rPr>
          <w:fldChar w:fldCharType="separate"/>
        </w:r>
        <w:r>
          <w:rPr>
            <w:rStyle w:val="Jegyzkhivatkozs"/>
            <w:vanish w:val="false"/>
          </w:rPr>
          <w:tab/>
          <w:t>41</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66">
        <w:r>
          <w:rPr>
            <w:webHidden/>
            <w:rStyle w:val="Jegyzkhivatkozs"/>
            <w:vanish w:val="false"/>
          </w:rPr>
          <w:t>3.1.1</w:t>
        </w:r>
        <w:r>
          <w:rPr>
            <w:rStyle w:val="Jegyzkhivatkozs"/>
            <w:rFonts w:eastAsia="" w:cs="" w:ascii="Calibri" w:hAnsi="Calibri" w:asciiTheme="minorHAnsi" w:cstheme="minorBidi" w:eastAsiaTheme="minorEastAsia" w:hAnsiTheme="minorHAnsi"/>
            <w:sz w:val="22"/>
            <w:lang w:eastAsia="hu-HU"/>
          </w:rPr>
          <w:tab/>
        </w:r>
        <w:r>
          <w:rPr>
            <w:rStyle w:val="Jegyzkhivatkozs"/>
          </w:rPr>
          <w:t>Helyszínen készített beton</w:t>
        </w:r>
        <w:r>
          <w:rPr>
            <w:webHidden/>
          </w:rPr>
          <w:fldChar w:fldCharType="begin"/>
        </w:r>
        <w:r>
          <w:rPr>
            <w:webHidden/>
          </w:rPr>
          <w:instrText>PAGEREF _Toc453756466 \h</w:instrText>
        </w:r>
        <w:r>
          <w:rPr>
            <w:webHidden/>
          </w:rPr>
          <w:fldChar w:fldCharType="separate"/>
        </w:r>
        <w:r>
          <w:rPr>
            <w:rStyle w:val="Jegyzkhivatkozs"/>
            <w:vanish w:val="false"/>
          </w:rPr>
          <w:tab/>
          <w:t>41</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67">
        <w:r>
          <w:rPr>
            <w:webHidden/>
            <w:rStyle w:val="Jegyzkhivatkozs"/>
            <w:vanish w:val="false"/>
          </w:rPr>
          <w:t>3.1.2</w:t>
        </w:r>
        <w:r>
          <w:rPr>
            <w:rStyle w:val="Jegyzkhivatkozs"/>
            <w:rFonts w:eastAsia="" w:cs="" w:ascii="Calibri" w:hAnsi="Calibri" w:asciiTheme="minorHAnsi" w:cstheme="minorBidi" w:eastAsiaTheme="minorEastAsia" w:hAnsiTheme="minorHAnsi"/>
            <w:sz w:val="22"/>
            <w:lang w:eastAsia="hu-HU"/>
          </w:rPr>
          <w:tab/>
        </w:r>
        <w:r>
          <w:rPr>
            <w:rStyle w:val="Jegyzkhivatkozs"/>
          </w:rPr>
          <w:t>Cement</w:t>
        </w:r>
        <w:r>
          <w:rPr>
            <w:webHidden/>
          </w:rPr>
          <w:fldChar w:fldCharType="begin"/>
        </w:r>
        <w:r>
          <w:rPr>
            <w:webHidden/>
          </w:rPr>
          <w:instrText>PAGEREF _Toc453756467 \h</w:instrText>
        </w:r>
        <w:r>
          <w:rPr>
            <w:webHidden/>
          </w:rPr>
          <w:fldChar w:fldCharType="separate"/>
        </w:r>
        <w:r>
          <w:rPr>
            <w:rStyle w:val="Jegyzkhivatkozs"/>
            <w:vanish w:val="false"/>
          </w:rPr>
          <w:tab/>
          <w:t>41</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68">
        <w:r>
          <w:rPr>
            <w:webHidden/>
            <w:rStyle w:val="Jegyzkhivatkozs"/>
            <w:vanish w:val="false"/>
          </w:rPr>
          <w:t>3.1.3</w:t>
        </w:r>
        <w:r>
          <w:rPr>
            <w:rStyle w:val="Jegyzkhivatkozs"/>
            <w:rFonts w:eastAsia="" w:cs="" w:ascii="Calibri" w:hAnsi="Calibri" w:asciiTheme="minorHAnsi" w:cstheme="minorBidi" w:eastAsiaTheme="minorEastAsia" w:hAnsiTheme="minorHAnsi"/>
            <w:sz w:val="22"/>
            <w:lang w:eastAsia="hu-HU"/>
          </w:rPr>
          <w:tab/>
        </w:r>
        <w:r>
          <w:rPr>
            <w:rStyle w:val="Jegyzkhivatkozs"/>
          </w:rPr>
          <w:t>Víz</w:t>
        </w:r>
        <w:r>
          <w:rPr>
            <w:webHidden/>
          </w:rPr>
          <w:fldChar w:fldCharType="begin"/>
        </w:r>
        <w:r>
          <w:rPr>
            <w:webHidden/>
          </w:rPr>
          <w:instrText>PAGEREF _Toc453756468 \h</w:instrText>
        </w:r>
        <w:r>
          <w:rPr>
            <w:webHidden/>
          </w:rPr>
          <w:fldChar w:fldCharType="separate"/>
        </w:r>
        <w:r>
          <w:rPr>
            <w:rStyle w:val="Jegyzkhivatkozs"/>
            <w:vanish w:val="false"/>
          </w:rPr>
          <w:tab/>
          <w:t>42</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69">
        <w:r>
          <w:rPr>
            <w:webHidden/>
            <w:rStyle w:val="Jegyzkhivatkozs"/>
            <w:vanish w:val="false"/>
          </w:rPr>
          <w:t>3.1.4</w:t>
        </w:r>
        <w:r>
          <w:rPr>
            <w:rStyle w:val="Jegyzkhivatkozs"/>
            <w:rFonts w:eastAsia="" w:cs="" w:ascii="Calibri" w:hAnsi="Calibri" w:asciiTheme="minorHAnsi" w:cstheme="minorBidi" w:eastAsiaTheme="minorEastAsia" w:hAnsiTheme="minorHAnsi"/>
            <w:sz w:val="22"/>
            <w:lang w:eastAsia="hu-HU"/>
          </w:rPr>
          <w:tab/>
        </w:r>
        <w:r>
          <w:rPr>
            <w:rStyle w:val="Jegyzkhivatkozs"/>
          </w:rPr>
          <w:t>Adalékanyagok</w:t>
        </w:r>
        <w:r>
          <w:rPr>
            <w:webHidden/>
          </w:rPr>
          <w:fldChar w:fldCharType="begin"/>
        </w:r>
        <w:r>
          <w:rPr>
            <w:webHidden/>
          </w:rPr>
          <w:instrText>PAGEREF _Toc453756469 \h</w:instrText>
        </w:r>
        <w:r>
          <w:rPr>
            <w:webHidden/>
          </w:rPr>
          <w:fldChar w:fldCharType="separate"/>
        </w:r>
        <w:r>
          <w:rPr>
            <w:rStyle w:val="Jegyzkhivatkozs"/>
            <w:vanish w:val="false"/>
          </w:rPr>
          <w:tab/>
          <w:t>42</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70">
        <w:r>
          <w:rPr>
            <w:webHidden/>
            <w:rStyle w:val="Jegyzkhivatkozs"/>
            <w:vanish w:val="false"/>
          </w:rPr>
          <w:t>3.1.5</w:t>
        </w:r>
        <w:r>
          <w:rPr>
            <w:rStyle w:val="Jegyzkhivatkozs"/>
            <w:rFonts w:eastAsia="" w:cs="" w:ascii="Calibri" w:hAnsi="Calibri" w:asciiTheme="minorHAnsi" w:cstheme="minorBidi" w:eastAsiaTheme="minorEastAsia" w:hAnsiTheme="minorHAnsi"/>
            <w:sz w:val="22"/>
            <w:lang w:eastAsia="hu-HU"/>
          </w:rPr>
          <w:tab/>
        </w:r>
        <w:r>
          <w:rPr>
            <w:rStyle w:val="Jegyzkhivatkozs"/>
          </w:rPr>
          <w:t>Minőség-ellenőrzés</w:t>
        </w:r>
        <w:r>
          <w:rPr>
            <w:webHidden/>
          </w:rPr>
          <w:fldChar w:fldCharType="begin"/>
        </w:r>
        <w:r>
          <w:rPr>
            <w:webHidden/>
          </w:rPr>
          <w:instrText>PAGEREF _Toc453756470 \h</w:instrText>
        </w:r>
        <w:r>
          <w:rPr>
            <w:webHidden/>
          </w:rPr>
          <w:fldChar w:fldCharType="separate"/>
        </w:r>
        <w:r>
          <w:rPr>
            <w:rStyle w:val="Jegyzkhivatkozs"/>
            <w:vanish w:val="false"/>
          </w:rPr>
          <w:tab/>
          <w:t>42</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71">
        <w:r>
          <w:rPr>
            <w:webHidden/>
            <w:rStyle w:val="Jegyzkhivatkozs"/>
            <w:vanish w:val="false"/>
          </w:rPr>
          <w:t>4</w:t>
        </w:r>
        <w:r>
          <w:rPr>
            <w:rStyle w:val="Jegyzkhivatkozs"/>
            <w:rFonts w:eastAsia="" w:cs="" w:ascii="Calibri" w:hAnsi="Calibri" w:asciiTheme="minorHAnsi" w:cstheme="minorBidi" w:eastAsiaTheme="minorEastAsia" w:hAnsiTheme="minorHAnsi"/>
            <w:sz w:val="22"/>
            <w:lang w:eastAsia="hu-HU"/>
          </w:rPr>
          <w:tab/>
        </w:r>
        <w:r>
          <w:rPr>
            <w:rStyle w:val="Jegyzkhivatkozs"/>
          </w:rPr>
          <w:t>Szennyvízcsatorna építésével kapcsolatos követelmények</w:t>
        </w:r>
        <w:r>
          <w:rPr>
            <w:webHidden/>
          </w:rPr>
          <w:fldChar w:fldCharType="begin"/>
        </w:r>
        <w:r>
          <w:rPr>
            <w:webHidden/>
          </w:rPr>
          <w:instrText>PAGEREF _Toc453756471 \h</w:instrText>
        </w:r>
        <w:r>
          <w:rPr>
            <w:webHidden/>
          </w:rPr>
          <w:fldChar w:fldCharType="separate"/>
        </w:r>
        <w:r>
          <w:rPr>
            <w:rStyle w:val="Jegyzkhivatkozs"/>
            <w:vanish w:val="false"/>
          </w:rPr>
          <w:tab/>
          <w:t>42</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72">
        <w:r>
          <w:rPr>
            <w:webHidden/>
            <w:rStyle w:val="Jegyzkhivatkozs"/>
            <w:vanish w:val="false"/>
          </w:rPr>
          <w:t>4.1</w:t>
        </w:r>
        <w:r>
          <w:rPr>
            <w:rStyle w:val="Jegyzkhivatkozs"/>
            <w:rFonts w:eastAsia="" w:cs="" w:ascii="Calibri" w:hAnsi="Calibri" w:asciiTheme="minorHAnsi" w:cstheme="minorBidi" w:eastAsiaTheme="minorEastAsia" w:hAnsiTheme="minorHAnsi"/>
            <w:sz w:val="22"/>
            <w:lang w:eastAsia="hu-HU"/>
          </w:rPr>
          <w:tab/>
        </w:r>
        <w:r>
          <w:rPr>
            <w:rStyle w:val="Jegyzkhivatkozs"/>
          </w:rPr>
          <w:t>Házi beemelőkkel kapcsolatos követelmények</w:t>
        </w:r>
        <w:r>
          <w:rPr>
            <w:webHidden/>
          </w:rPr>
          <w:fldChar w:fldCharType="begin"/>
        </w:r>
        <w:r>
          <w:rPr>
            <w:webHidden/>
          </w:rPr>
          <w:instrText>PAGEREF _Toc453756472 \h</w:instrText>
        </w:r>
        <w:r>
          <w:rPr>
            <w:webHidden/>
          </w:rPr>
          <w:fldChar w:fldCharType="separate"/>
        </w:r>
        <w:r>
          <w:rPr>
            <w:rStyle w:val="Jegyzkhivatkozs"/>
            <w:vanish w:val="false"/>
          </w:rPr>
          <w:tab/>
          <w:t>43</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73">
        <w:r>
          <w:rPr>
            <w:webHidden/>
            <w:rStyle w:val="Jegyzkhivatkozs"/>
            <w:vanish w:val="false"/>
          </w:rPr>
          <w:t>4.2</w:t>
        </w:r>
        <w:r>
          <w:rPr>
            <w:rStyle w:val="Jegyzkhivatkozs"/>
            <w:rFonts w:eastAsia="" w:cs="" w:ascii="Calibri" w:hAnsi="Calibri" w:asciiTheme="minorHAnsi" w:cstheme="minorBidi" w:eastAsiaTheme="minorEastAsia" w:hAnsiTheme="minorHAnsi"/>
            <w:sz w:val="22"/>
            <w:lang w:eastAsia="hu-HU"/>
          </w:rPr>
          <w:tab/>
        </w:r>
        <w:r>
          <w:rPr>
            <w:rStyle w:val="Jegyzkhivatkozs"/>
          </w:rPr>
          <w:t>Keresztezések kialakítása</w:t>
        </w:r>
        <w:r>
          <w:rPr>
            <w:webHidden/>
          </w:rPr>
          <w:fldChar w:fldCharType="begin"/>
        </w:r>
        <w:r>
          <w:rPr>
            <w:webHidden/>
          </w:rPr>
          <w:instrText>PAGEREF _Toc453756473 \h</w:instrText>
        </w:r>
        <w:r>
          <w:rPr>
            <w:webHidden/>
          </w:rPr>
          <w:fldChar w:fldCharType="separate"/>
        </w:r>
        <w:r>
          <w:rPr>
            <w:rStyle w:val="Jegyzkhivatkozs"/>
            <w:vanish w:val="false"/>
          </w:rPr>
          <w:tab/>
          <w:t>43</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74">
        <w:r>
          <w:rPr>
            <w:webHidden/>
            <w:rStyle w:val="Jegyzkhivatkozs"/>
            <w:vanish w:val="false"/>
          </w:rPr>
          <w:t>4.2.1</w:t>
        </w:r>
        <w:r>
          <w:rPr>
            <w:rStyle w:val="Jegyzkhivatkozs"/>
            <w:rFonts w:eastAsia="" w:cs="" w:ascii="Calibri" w:hAnsi="Calibri" w:asciiTheme="minorHAnsi" w:cstheme="minorBidi" w:eastAsiaTheme="minorEastAsia" w:hAnsiTheme="minorHAnsi"/>
            <w:sz w:val="22"/>
            <w:lang w:eastAsia="hu-HU"/>
          </w:rPr>
          <w:tab/>
        </w:r>
        <w:r>
          <w:rPr>
            <w:rStyle w:val="Jegyzkhivatkozs"/>
          </w:rPr>
          <w:t>Út – és egyéb keresztezések</w:t>
        </w:r>
        <w:r>
          <w:rPr>
            <w:webHidden/>
          </w:rPr>
          <w:fldChar w:fldCharType="begin"/>
        </w:r>
        <w:r>
          <w:rPr>
            <w:webHidden/>
          </w:rPr>
          <w:instrText>PAGEREF _Toc453756474 \h</w:instrText>
        </w:r>
        <w:r>
          <w:rPr>
            <w:webHidden/>
          </w:rPr>
          <w:fldChar w:fldCharType="separate"/>
        </w:r>
        <w:r>
          <w:rPr>
            <w:rStyle w:val="Jegyzkhivatkozs"/>
            <w:vanish w:val="false"/>
          </w:rPr>
          <w:tab/>
          <w:t>43</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75">
        <w:r>
          <w:rPr>
            <w:webHidden/>
            <w:rStyle w:val="Jegyzkhivatkozs"/>
            <w:vanish w:val="false"/>
          </w:rPr>
          <w:t>4.2.2</w:t>
        </w:r>
        <w:r>
          <w:rPr>
            <w:rStyle w:val="Jegyzkhivatkozs"/>
            <w:rFonts w:eastAsia="" w:cs="" w:ascii="Calibri" w:hAnsi="Calibri" w:asciiTheme="minorHAnsi" w:cstheme="minorBidi" w:eastAsiaTheme="minorEastAsia" w:hAnsiTheme="minorHAnsi"/>
            <w:sz w:val="22"/>
            <w:lang w:eastAsia="hu-HU"/>
          </w:rPr>
          <w:tab/>
        </w:r>
        <w:r>
          <w:rPr>
            <w:rStyle w:val="Jegyzkhivatkozs"/>
          </w:rPr>
          <w:t>Vízvezeték keresztezése</w:t>
        </w:r>
        <w:r>
          <w:rPr>
            <w:webHidden/>
          </w:rPr>
          <w:fldChar w:fldCharType="begin"/>
        </w:r>
        <w:r>
          <w:rPr>
            <w:webHidden/>
          </w:rPr>
          <w:instrText>PAGEREF _Toc453756475 \h</w:instrText>
        </w:r>
        <w:r>
          <w:rPr>
            <w:webHidden/>
          </w:rPr>
          <w:fldChar w:fldCharType="separate"/>
        </w:r>
        <w:r>
          <w:rPr>
            <w:rStyle w:val="Jegyzkhivatkozs"/>
            <w:vanish w:val="false"/>
          </w:rPr>
          <w:tab/>
          <w:t>44</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76">
        <w:r>
          <w:rPr>
            <w:webHidden/>
            <w:rStyle w:val="Jegyzkhivatkozs"/>
            <w:vanish w:val="false"/>
          </w:rPr>
          <w:t>4.2.3</w:t>
        </w:r>
        <w:r>
          <w:rPr>
            <w:rStyle w:val="Jegyzkhivatkozs"/>
            <w:rFonts w:eastAsia="" w:cs="" w:ascii="Calibri" w:hAnsi="Calibri" w:asciiTheme="minorHAnsi" w:cstheme="minorBidi" w:eastAsiaTheme="minorEastAsia" w:hAnsiTheme="minorHAnsi"/>
            <w:sz w:val="22"/>
            <w:lang w:eastAsia="hu-HU"/>
          </w:rPr>
          <w:tab/>
        </w:r>
        <w:r>
          <w:rPr>
            <w:rStyle w:val="Jegyzkhivatkozs"/>
          </w:rPr>
          <w:t>Gázvezeték keresztezése</w:t>
        </w:r>
        <w:r>
          <w:rPr>
            <w:webHidden/>
          </w:rPr>
          <w:fldChar w:fldCharType="begin"/>
        </w:r>
        <w:r>
          <w:rPr>
            <w:webHidden/>
          </w:rPr>
          <w:instrText>PAGEREF _Toc453756476 \h</w:instrText>
        </w:r>
        <w:r>
          <w:rPr>
            <w:webHidden/>
          </w:rPr>
          <w:fldChar w:fldCharType="separate"/>
        </w:r>
        <w:r>
          <w:rPr>
            <w:rStyle w:val="Jegyzkhivatkozs"/>
            <w:vanish w:val="false"/>
          </w:rPr>
          <w:tab/>
          <w:t>44</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77">
        <w:r>
          <w:rPr>
            <w:webHidden/>
            <w:rStyle w:val="Jegyzkhivatkozs"/>
            <w:vanish w:val="false"/>
          </w:rPr>
          <w:t>4.2.4</w:t>
        </w:r>
        <w:r>
          <w:rPr>
            <w:rStyle w:val="Jegyzkhivatkozs"/>
            <w:rFonts w:eastAsia="" w:cs="" w:ascii="Calibri" w:hAnsi="Calibri" w:asciiTheme="minorHAnsi" w:cstheme="minorBidi" w:eastAsiaTheme="minorEastAsia" w:hAnsiTheme="minorHAnsi"/>
            <w:sz w:val="22"/>
            <w:lang w:eastAsia="hu-HU"/>
          </w:rPr>
          <w:tab/>
        </w:r>
        <w:r>
          <w:rPr>
            <w:rStyle w:val="Jegyzkhivatkozs"/>
          </w:rPr>
          <w:t>Elektromos, telefon kábelek keresztezése, oszlopok megközelítése</w:t>
        </w:r>
        <w:r>
          <w:rPr>
            <w:webHidden/>
          </w:rPr>
          <w:fldChar w:fldCharType="begin"/>
        </w:r>
        <w:r>
          <w:rPr>
            <w:webHidden/>
          </w:rPr>
          <w:instrText>PAGEREF _Toc453756477 \h</w:instrText>
        </w:r>
        <w:r>
          <w:rPr>
            <w:webHidden/>
          </w:rPr>
          <w:fldChar w:fldCharType="separate"/>
        </w:r>
        <w:r>
          <w:rPr>
            <w:rStyle w:val="Jegyzkhivatkozs"/>
            <w:vanish w:val="false"/>
          </w:rPr>
          <w:tab/>
          <w:t>44</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78">
        <w:r>
          <w:rPr>
            <w:webHidden/>
            <w:rStyle w:val="Jegyzkhivatkozs"/>
            <w:vanish w:val="false"/>
          </w:rPr>
          <w:t>4.2.5</w:t>
        </w:r>
        <w:r>
          <w:rPr>
            <w:rStyle w:val="Jegyzkhivatkozs"/>
            <w:rFonts w:eastAsia="" w:cs="" w:ascii="Calibri" w:hAnsi="Calibri" w:asciiTheme="minorHAnsi" w:cstheme="minorBidi" w:eastAsiaTheme="minorEastAsia" w:hAnsiTheme="minorHAnsi"/>
            <w:sz w:val="22"/>
            <w:lang w:eastAsia="hu-HU"/>
          </w:rPr>
          <w:tab/>
        </w:r>
        <w:r>
          <w:rPr>
            <w:rStyle w:val="Jegyzkhivatkozs"/>
          </w:rPr>
          <w:t>Csapadékvíz csatorna és nyílt árok keresztezése</w:t>
        </w:r>
        <w:r>
          <w:rPr>
            <w:webHidden/>
          </w:rPr>
          <w:fldChar w:fldCharType="begin"/>
        </w:r>
        <w:r>
          <w:rPr>
            <w:webHidden/>
          </w:rPr>
          <w:instrText>PAGEREF _Toc453756478 \h</w:instrText>
        </w:r>
        <w:r>
          <w:rPr>
            <w:webHidden/>
          </w:rPr>
          <w:fldChar w:fldCharType="separate"/>
        </w:r>
        <w:r>
          <w:rPr>
            <w:rStyle w:val="Jegyzkhivatkozs"/>
            <w:vanish w:val="false"/>
          </w:rPr>
          <w:tab/>
          <w:t>44</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79">
        <w:r>
          <w:rPr>
            <w:webHidden/>
            <w:rStyle w:val="Jegyzkhivatkozs"/>
            <w:vanish w:val="false"/>
          </w:rPr>
          <w:t>4.3</w:t>
        </w:r>
        <w:r>
          <w:rPr>
            <w:rStyle w:val="Jegyzkhivatkozs"/>
            <w:rFonts w:eastAsia="" w:cs="" w:ascii="Calibri" w:hAnsi="Calibri" w:asciiTheme="minorHAnsi" w:cstheme="minorBidi" w:eastAsiaTheme="minorEastAsia" w:hAnsiTheme="minorHAnsi"/>
            <w:sz w:val="22"/>
            <w:lang w:eastAsia="hu-HU"/>
          </w:rPr>
          <w:tab/>
        </w:r>
        <w:r>
          <w:rPr>
            <w:rStyle w:val="Jegyzkhivatkozs"/>
          </w:rPr>
          <w:t>Bekötővezetékek építése</w:t>
        </w:r>
        <w:r>
          <w:rPr>
            <w:webHidden/>
          </w:rPr>
          <w:fldChar w:fldCharType="begin"/>
        </w:r>
        <w:r>
          <w:rPr>
            <w:webHidden/>
          </w:rPr>
          <w:instrText>PAGEREF _Toc453756479 \h</w:instrText>
        </w:r>
        <w:r>
          <w:rPr>
            <w:webHidden/>
          </w:rPr>
          <w:fldChar w:fldCharType="separate"/>
        </w:r>
        <w:r>
          <w:rPr>
            <w:rStyle w:val="Jegyzkhivatkozs"/>
            <w:vanish w:val="false"/>
          </w:rPr>
          <w:tab/>
          <w:t>44</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80">
        <w:r>
          <w:rPr>
            <w:webHidden/>
            <w:rStyle w:val="Jegyzkhivatkozs"/>
            <w:vanish w:val="false"/>
          </w:rPr>
          <w:t>5</w:t>
        </w:r>
        <w:r>
          <w:rPr>
            <w:rStyle w:val="Jegyzkhivatkozs"/>
            <w:rFonts w:eastAsia="" w:cs="" w:ascii="Calibri" w:hAnsi="Calibri" w:asciiTheme="minorHAnsi" w:cstheme="minorBidi" w:eastAsiaTheme="minorEastAsia" w:hAnsiTheme="minorHAnsi"/>
            <w:sz w:val="22"/>
            <w:lang w:eastAsia="hu-HU"/>
          </w:rPr>
          <w:tab/>
        </w:r>
        <w:r>
          <w:rPr>
            <w:rStyle w:val="Jegyzkhivatkozs"/>
          </w:rPr>
          <w:t>Burkolatbontás és helyreállítás</w:t>
        </w:r>
        <w:r>
          <w:rPr>
            <w:webHidden/>
          </w:rPr>
          <w:fldChar w:fldCharType="begin"/>
        </w:r>
        <w:r>
          <w:rPr>
            <w:webHidden/>
          </w:rPr>
          <w:instrText>PAGEREF _Toc453756480 \h</w:instrText>
        </w:r>
        <w:r>
          <w:rPr>
            <w:webHidden/>
          </w:rPr>
          <w:fldChar w:fldCharType="separate"/>
        </w:r>
        <w:r>
          <w:rPr>
            <w:rStyle w:val="Jegyzkhivatkozs"/>
            <w:vanish w:val="false"/>
          </w:rPr>
          <w:tab/>
          <w:t>45</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81">
        <w:r>
          <w:rPr>
            <w:webHidden/>
            <w:rStyle w:val="Jegyzkhivatkozs"/>
            <w:vanish w:val="false"/>
          </w:rPr>
          <w:t>5.1</w:t>
        </w:r>
        <w:r>
          <w:rPr>
            <w:rStyle w:val="Jegyzkhivatkozs"/>
            <w:rFonts w:eastAsia="" w:cs="" w:ascii="Calibri" w:hAnsi="Calibri" w:asciiTheme="minorHAnsi" w:cstheme="minorBidi" w:eastAsiaTheme="minorEastAsia" w:hAnsiTheme="minorHAnsi"/>
            <w:sz w:val="22"/>
            <w:lang w:eastAsia="hu-HU"/>
          </w:rPr>
          <w:tab/>
        </w:r>
        <w:r>
          <w:rPr>
            <w:rStyle w:val="Jegyzkhivatkozs"/>
          </w:rPr>
          <w:t>Általános műszaki követelmények</w:t>
        </w:r>
        <w:r>
          <w:rPr>
            <w:webHidden/>
          </w:rPr>
          <w:fldChar w:fldCharType="begin"/>
        </w:r>
        <w:r>
          <w:rPr>
            <w:webHidden/>
          </w:rPr>
          <w:instrText>PAGEREF _Toc453756481 \h</w:instrText>
        </w:r>
        <w:r>
          <w:rPr>
            <w:webHidden/>
          </w:rPr>
          <w:fldChar w:fldCharType="separate"/>
        </w:r>
        <w:r>
          <w:rPr>
            <w:rStyle w:val="Jegyzkhivatkozs"/>
            <w:vanish w:val="false"/>
          </w:rPr>
          <w:tab/>
          <w:t>45</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82">
        <w:r>
          <w:rPr>
            <w:webHidden/>
            <w:rStyle w:val="Jegyzkhivatkozs"/>
            <w:vanish w:val="false"/>
          </w:rPr>
          <w:t>5.2</w:t>
        </w:r>
        <w:r>
          <w:rPr>
            <w:rStyle w:val="Jegyzkhivatkozs"/>
            <w:rFonts w:eastAsia="" w:cs="" w:ascii="Calibri" w:hAnsi="Calibri" w:asciiTheme="minorHAnsi" w:cstheme="minorBidi" w:eastAsiaTheme="minorEastAsia" w:hAnsiTheme="minorHAnsi"/>
            <w:sz w:val="22"/>
            <w:lang w:eastAsia="hu-HU"/>
          </w:rPr>
          <w:tab/>
        </w:r>
        <w:r>
          <w:rPr>
            <w:rStyle w:val="Jegyzkhivatkozs"/>
          </w:rPr>
          <w:t>Burkolatok, burkolatalapok bontása</w:t>
        </w:r>
        <w:r>
          <w:rPr>
            <w:webHidden/>
          </w:rPr>
          <w:fldChar w:fldCharType="begin"/>
        </w:r>
        <w:r>
          <w:rPr>
            <w:webHidden/>
          </w:rPr>
          <w:instrText>PAGEREF _Toc453756482 \h</w:instrText>
        </w:r>
        <w:r>
          <w:rPr>
            <w:webHidden/>
          </w:rPr>
          <w:fldChar w:fldCharType="separate"/>
        </w:r>
        <w:r>
          <w:rPr>
            <w:rStyle w:val="Jegyzkhivatkozs"/>
            <w:vanish w:val="false"/>
          </w:rPr>
          <w:tab/>
          <w:t>45</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83">
        <w:r>
          <w:rPr>
            <w:webHidden/>
            <w:rStyle w:val="Jegyzkhivatkozs"/>
            <w:vanish w:val="false"/>
          </w:rPr>
          <w:t>5.3</w:t>
        </w:r>
        <w:r>
          <w:rPr>
            <w:rStyle w:val="Jegyzkhivatkozs"/>
            <w:rFonts w:eastAsia="" w:cs="" w:ascii="Calibri" w:hAnsi="Calibri" w:asciiTheme="minorHAnsi" w:cstheme="minorBidi" w:eastAsiaTheme="minorEastAsia" w:hAnsiTheme="minorHAnsi"/>
            <w:sz w:val="22"/>
            <w:lang w:eastAsia="hu-HU"/>
          </w:rPr>
          <w:tab/>
        </w:r>
        <w:r>
          <w:rPr>
            <w:rStyle w:val="Jegyzkhivatkozs"/>
          </w:rPr>
          <w:t>Betonburkolat építése keskeny sávban</w:t>
        </w:r>
        <w:r>
          <w:rPr>
            <w:webHidden/>
          </w:rPr>
          <w:fldChar w:fldCharType="begin"/>
        </w:r>
        <w:r>
          <w:rPr>
            <w:webHidden/>
          </w:rPr>
          <w:instrText>PAGEREF _Toc453756483 \h</w:instrText>
        </w:r>
        <w:r>
          <w:rPr>
            <w:webHidden/>
          </w:rPr>
          <w:fldChar w:fldCharType="separate"/>
        </w:r>
        <w:r>
          <w:rPr>
            <w:rStyle w:val="Jegyzkhivatkozs"/>
            <w:vanish w:val="false"/>
          </w:rPr>
          <w:tab/>
          <w:t>45</w:t>
        </w:r>
        <w:r>
          <w:rPr>
            <w:webHidden/>
          </w:rPr>
          <w:fldChar w:fldCharType="end"/>
        </w:r>
      </w:hyperlink>
    </w:p>
    <w:p>
      <w:pPr>
        <w:pStyle w:val="Tartalomjegyzk2"/>
        <w:tabs>
          <w:tab w:val="left" w:pos="960" w:leader="none"/>
          <w:tab w:val="right" w:pos="9402" w:leader="dot"/>
        </w:tabs>
        <w:rPr>
          <w:rFonts w:ascii="Calibri" w:hAnsi="Calibri" w:eastAsia="" w:cs="" w:asciiTheme="minorHAnsi" w:cstheme="minorBidi" w:eastAsiaTheme="minorEastAsia" w:hAnsiTheme="minorHAnsi"/>
          <w:sz w:val="22"/>
          <w:lang w:eastAsia="hu-HU"/>
        </w:rPr>
      </w:pPr>
      <w:hyperlink w:anchor="_Toc453756484">
        <w:r>
          <w:rPr>
            <w:webHidden/>
            <w:rStyle w:val="Jegyzkhivatkozs"/>
            <w:vanish w:val="false"/>
          </w:rPr>
          <w:t>5.4</w:t>
        </w:r>
        <w:r>
          <w:rPr>
            <w:rStyle w:val="Jegyzkhivatkozs"/>
            <w:rFonts w:eastAsia="" w:cs="" w:ascii="Calibri" w:hAnsi="Calibri" w:asciiTheme="minorHAnsi" w:cstheme="minorBidi" w:eastAsiaTheme="minorEastAsia" w:hAnsiTheme="minorHAnsi"/>
            <w:sz w:val="22"/>
            <w:lang w:eastAsia="hu-HU"/>
          </w:rPr>
          <w:tab/>
        </w:r>
        <w:r>
          <w:rPr>
            <w:rStyle w:val="Jegyzkhivatkozs"/>
          </w:rPr>
          <w:t>Hengerelt aszfaltburkolat készítése</w:t>
        </w:r>
        <w:r>
          <w:rPr>
            <w:webHidden/>
          </w:rPr>
          <w:fldChar w:fldCharType="begin"/>
        </w:r>
        <w:r>
          <w:rPr>
            <w:webHidden/>
          </w:rPr>
          <w:instrText>PAGEREF _Toc453756484 \h</w:instrText>
        </w:r>
        <w:r>
          <w:rPr>
            <w:webHidden/>
          </w:rPr>
          <w:fldChar w:fldCharType="separate"/>
        </w:r>
        <w:r>
          <w:rPr>
            <w:rStyle w:val="Jegyzkhivatkozs"/>
            <w:vanish w:val="false"/>
          </w:rPr>
          <w:tab/>
          <w:t>46</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85">
        <w:r>
          <w:rPr>
            <w:webHidden/>
            <w:rStyle w:val="Jegyzkhivatkozs"/>
            <w:vanish w:val="false"/>
          </w:rPr>
          <w:t>6</w:t>
        </w:r>
        <w:r>
          <w:rPr>
            <w:rStyle w:val="Jegyzkhivatkozs"/>
            <w:rFonts w:eastAsia="" w:cs="" w:ascii="Calibri" w:hAnsi="Calibri" w:asciiTheme="minorHAnsi" w:cstheme="minorBidi" w:eastAsiaTheme="minorEastAsia" w:hAnsiTheme="minorHAnsi"/>
            <w:sz w:val="22"/>
            <w:lang w:eastAsia="hu-HU"/>
          </w:rPr>
          <w:tab/>
        </w:r>
        <w:r>
          <w:rPr>
            <w:rStyle w:val="Jegyzkhivatkozs"/>
          </w:rPr>
          <w:t>Növényesítés, talajvédelem</w:t>
        </w:r>
        <w:r>
          <w:rPr>
            <w:webHidden/>
          </w:rPr>
          <w:fldChar w:fldCharType="begin"/>
        </w:r>
        <w:r>
          <w:rPr>
            <w:webHidden/>
          </w:rPr>
          <w:instrText>PAGEREF _Toc453756485 \h</w:instrText>
        </w:r>
        <w:r>
          <w:rPr>
            <w:webHidden/>
          </w:rPr>
          <w:fldChar w:fldCharType="separate"/>
        </w:r>
        <w:r>
          <w:rPr>
            <w:rStyle w:val="Jegyzkhivatkozs"/>
            <w:vanish w:val="false"/>
          </w:rPr>
          <w:tab/>
          <w:t>46</w:t>
        </w:r>
        <w:r>
          <w:rPr>
            <w:webHidden/>
          </w:rPr>
          <w:fldChar w:fldCharType="end"/>
        </w:r>
      </w:hyperlink>
    </w:p>
    <w:p>
      <w:pPr>
        <w:pStyle w:val="Tartalomjegyzk3"/>
        <w:tabs>
          <w:tab w:val="left" w:pos="1320" w:leader="none"/>
          <w:tab w:val="right" w:pos="9402" w:leader="dot"/>
        </w:tabs>
        <w:rPr>
          <w:rFonts w:ascii="Calibri" w:hAnsi="Calibri" w:eastAsia="" w:cs="" w:asciiTheme="minorHAnsi" w:cstheme="minorBidi" w:eastAsiaTheme="minorEastAsia" w:hAnsiTheme="minorHAnsi"/>
          <w:sz w:val="22"/>
          <w:lang w:eastAsia="hu-HU"/>
        </w:rPr>
      </w:pPr>
      <w:hyperlink w:anchor="_Toc453756486">
        <w:r>
          <w:rPr>
            <w:webHidden/>
            <w:rStyle w:val="Jegyzkhivatkozs"/>
            <w:vanish w:val="false"/>
          </w:rPr>
          <w:t>6.1.1</w:t>
        </w:r>
        <w:r>
          <w:rPr>
            <w:rStyle w:val="Jegyzkhivatkozs"/>
            <w:rFonts w:eastAsia="" w:cs="" w:ascii="Calibri" w:hAnsi="Calibri" w:asciiTheme="minorHAnsi" w:cstheme="minorBidi" w:eastAsiaTheme="minorEastAsia" w:hAnsiTheme="minorHAnsi"/>
            <w:sz w:val="22"/>
            <w:lang w:eastAsia="hu-HU"/>
          </w:rPr>
          <w:tab/>
        </w:r>
        <w:r>
          <w:rPr>
            <w:rStyle w:val="Jegyzkhivatkozs"/>
          </w:rPr>
          <w:t>Talajvédelem</w:t>
        </w:r>
        <w:r>
          <w:rPr>
            <w:webHidden/>
          </w:rPr>
          <w:fldChar w:fldCharType="begin"/>
        </w:r>
        <w:r>
          <w:rPr>
            <w:webHidden/>
          </w:rPr>
          <w:instrText>PAGEREF _Toc453756486 \h</w:instrText>
        </w:r>
        <w:r>
          <w:rPr>
            <w:webHidden/>
          </w:rPr>
          <w:fldChar w:fldCharType="separate"/>
        </w:r>
        <w:r>
          <w:rPr>
            <w:rStyle w:val="Jegyzkhivatkozs"/>
            <w:vanish w:val="false"/>
          </w:rPr>
          <w:tab/>
          <w:t>47</w:t>
        </w:r>
        <w:r>
          <w:rPr>
            <w:webHidden/>
          </w:rPr>
          <w:fldChar w:fldCharType="end"/>
        </w:r>
      </w:hyperlink>
    </w:p>
    <w:p>
      <w:pPr>
        <w:pStyle w:val="Tartalomjegyzk1"/>
        <w:tabs>
          <w:tab w:val="left" w:pos="480" w:leader="none"/>
          <w:tab w:val="right" w:pos="9402" w:leader="dot"/>
        </w:tabs>
        <w:rPr>
          <w:rFonts w:ascii="Calibri" w:hAnsi="Calibri" w:eastAsia="" w:cs="" w:asciiTheme="minorHAnsi" w:cstheme="minorBidi" w:eastAsiaTheme="minorEastAsia" w:hAnsiTheme="minorHAnsi"/>
          <w:sz w:val="22"/>
          <w:lang w:eastAsia="hu-HU"/>
        </w:rPr>
      </w:pPr>
      <w:hyperlink w:anchor="_Toc453756487">
        <w:r>
          <w:rPr>
            <w:webHidden/>
            <w:rStyle w:val="Jegyzkhivatkozs"/>
            <w:vanish w:val="false"/>
          </w:rPr>
          <w:t>7</w:t>
        </w:r>
        <w:r>
          <w:rPr>
            <w:rStyle w:val="Jegyzkhivatkozs"/>
            <w:rFonts w:eastAsia="" w:cs="" w:ascii="Calibri" w:hAnsi="Calibri" w:asciiTheme="minorHAnsi" w:cstheme="minorBidi" w:eastAsiaTheme="minorEastAsia" w:hAnsiTheme="minorHAnsi"/>
            <w:sz w:val="22"/>
            <w:lang w:eastAsia="hu-HU"/>
          </w:rPr>
          <w:tab/>
        </w:r>
        <w:r>
          <w:rPr>
            <w:rStyle w:val="Jegyzkhivatkozs"/>
          </w:rPr>
          <w:t>A Megrendelő követelményei dokumentáció mellékletei</w:t>
        </w:r>
        <w:r>
          <w:rPr>
            <w:webHidden/>
          </w:rPr>
          <w:fldChar w:fldCharType="begin"/>
        </w:r>
        <w:r>
          <w:rPr>
            <w:webHidden/>
          </w:rPr>
          <w:instrText>PAGEREF _Toc453756487 \h</w:instrText>
        </w:r>
        <w:r>
          <w:rPr>
            <w:webHidden/>
          </w:rPr>
          <w:fldChar w:fldCharType="separate"/>
        </w:r>
        <w:r>
          <w:rPr>
            <w:rStyle w:val="Jegyzkhivatkozs"/>
            <w:vanish w:val="false"/>
          </w:rPr>
          <w:tab/>
          <w:t>47</w:t>
        </w:r>
        <w:r>
          <w:rPr>
            <w:webHidden/>
          </w:rPr>
          <w:fldChar w:fldCharType="end"/>
        </w:r>
      </w:hyperlink>
    </w:p>
    <w:p>
      <w:pPr>
        <w:pStyle w:val="Normal"/>
        <w:rPr/>
      </w:pPr>
      <w:r>
        <w:rPr/>
      </w:r>
      <w:r>
        <w:fldChar w:fldCharType="end"/>
      </w:r>
    </w:p>
    <w:p>
      <w:pPr>
        <w:pStyle w:val="Normal"/>
        <w:rPr/>
      </w:pPr>
      <w:r>
        <w:rPr/>
      </w:r>
    </w:p>
    <w:p>
      <w:pPr>
        <w:pStyle w:val="Normal"/>
        <w:rPr/>
      </w:pPr>
      <w:r>
        <w:rPr/>
      </w:r>
    </w:p>
    <w:p>
      <w:pPr>
        <w:pStyle w:val="Normal"/>
        <w:rPr/>
      </w:pPr>
      <w:r>
        <w:rPr/>
      </w:r>
    </w:p>
    <w:p>
      <w:pPr>
        <w:pStyle w:val="Normal"/>
        <w:rPr/>
      </w:pPr>
      <w:r>
        <w:rPr/>
      </w:r>
      <w:r>
        <w:br w:type="page"/>
      </w:r>
    </w:p>
    <w:p>
      <w:pPr>
        <w:pStyle w:val="Cmsor1"/>
        <w:numPr>
          <w:ilvl w:val="0"/>
          <w:numId w:val="3"/>
        </w:numPr>
        <w:ind w:left="431" w:hanging="431"/>
        <w:rPr>
          <w:rFonts w:ascii="Times New Roman" w:hAnsi="Times New Roman"/>
        </w:rPr>
      </w:pPr>
      <w:bookmarkStart w:id="0" w:name="_Toc453756411"/>
      <w:bookmarkEnd w:id="0"/>
      <w:r>
        <w:rPr>
          <w:rFonts w:ascii="Times New Roman" w:hAnsi="Times New Roman"/>
        </w:rPr>
        <w:t>BEVEZETÉS</w:t>
      </w:r>
    </w:p>
    <w:p>
      <w:pPr>
        <w:pStyle w:val="Cmsor2"/>
        <w:numPr>
          <w:ilvl w:val="1"/>
          <w:numId w:val="3"/>
        </w:numPr>
        <w:rPr/>
      </w:pPr>
      <w:bookmarkStart w:id="1" w:name="_Toc453756412"/>
      <w:bookmarkEnd w:id="1"/>
      <w:r>
        <w:rPr/>
        <w:t>Előzmények</w:t>
      </w:r>
    </w:p>
    <w:p>
      <w:pPr>
        <w:pStyle w:val="Normal"/>
        <w:rPr/>
      </w:pPr>
      <w:r>
        <w:rPr/>
        <w:t xml:space="preserve">Gödöllő Város Önkormányzatának több évtizede célja a városi szennyvízcsatorna hálózat mielőbbi kiépítése a lakott területeken. Az utóbbi évtizedben a lakóövezeti hálózatépítés a jogilag rendezett utcákban pár kivételtől eltekintve megvalósult. 2008-ban elkezdődött a városi szennyvíztisztító telep korszerűsítésének pályázati előkészítése, ami a KEOP-1.2.0/09-11-2011-0005 számú projekt keretében lezárult. Így a szennyvízcsatorna hálózat további bővítésének tisztítási kapacitáskorlátja nincs. </w:t>
      </w:r>
    </w:p>
    <w:p>
      <w:pPr>
        <w:pStyle w:val="Normal"/>
        <w:rPr/>
      </w:pPr>
      <w:r>
        <w:rPr/>
      </w:r>
    </w:p>
    <w:p>
      <w:pPr>
        <w:pStyle w:val="Normal"/>
        <w:rPr/>
      </w:pPr>
      <w:r>
        <w:rPr/>
        <w:t>A még nem szennyvízcsatornázott Marikatelep és Antalhegy városrészek szennyvíz elvezető rendszerének megvalósításához az engedélyes tervdokumentációt 02-2/2006 tervszámon a Hidrokultúra Kft. készítette el és az engedély meghosszabbításával többször módosításra került, legutóbb 2015. 10. 15. FKI: 35100-1768-22/2015. számon módosított vízjogi létesítési engedéllyel rendelkezik.</w:t>
      </w:r>
    </w:p>
    <w:p>
      <w:pPr>
        <w:pStyle w:val="Normal"/>
        <w:rPr/>
      </w:pPr>
      <w:r>
        <w:rPr/>
      </w:r>
    </w:p>
    <w:p>
      <w:pPr>
        <w:pStyle w:val="Cmsor2"/>
        <w:numPr>
          <w:ilvl w:val="1"/>
          <w:numId w:val="3"/>
        </w:numPr>
        <w:rPr/>
      </w:pPr>
      <w:bookmarkStart w:id="2" w:name="_Toc453756413"/>
      <w:bookmarkEnd w:id="2"/>
      <w:r>
        <w:rPr/>
        <w:t>A fejlesztés célja</w:t>
      </w:r>
    </w:p>
    <w:p>
      <w:pPr>
        <w:pStyle w:val="Normal"/>
        <w:spacing w:lineRule="auto" w:line="276"/>
        <w:rPr/>
      </w:pPr>
      <w:r>
        <w:rPr/>
        <w:t>Gödöllő Város Önkormányzata a Gödöllői</w:t>
      </w:r>
      <w:r>
        <w:rPr>
          <w:rFonts w:eastAsia="Times New Roman"/>
        </w:rPr>
        <w:t xml:space="preserve"> </w:t>
      </w:r>
      <w:r>
        <w:rPr/>
        <w:t>Víz-</w:t>
      </w:r>
      <w:r>
        <w:rPr>
          <w:rFonts w:eastAsia="Times New Roman"/>
        </w:rPr>
        <w:t xml:space="preserve"> </w:t>
      </w:r>
      <w:r>
        <w:rPr/>
        <w:t>és</w:t>
      </w:r>
      <w:r>
        <w:rPr>
          <w:rFonts w:eastAsia="Times New Roman"/>
        </w:rPr>
        <w:t xml:space="preserve"> </w:t>
      </w:r>
      <w:r>
        <w:rPr/>
        <w:t>Csatornamű</w:t>
      </w:r>
      <w:r>
        <w:rPr>
          <w:rFonts w:eastAsia="Times New Roman"/>
        </w:rPr>
        <w:t xml:space="preserve"> </w:t>
      </w:r>
      <w:r>
        <w:rPr/>
        <w:t>Beruházó</w:t>
      </w:r>
      <w:r>
        <w:rPr>
          <w:rFonts w:eastAsia="Times New Roman"/>
        </w:rPr>
        <w:t xml:space="preserve"> </w:t>
      </w:r>
      <w:r>
        <w:rPr/>
        <w:t>Viziközmű</w:t>
      </w:r>
      <w:r>
        <w:rPr>
          <w:rFonts w:eastAsia="Times New Roman"/>
        </w:rPr>
        <w:t xml:space="preserve"> </w:t>
      </w:r>
      <w:r>
        <w:rPr/>
        <w:t xml:space="preserve">Társulattal közös beruházás keretében, az idei évben meg kívánja valósítani a vízjogi létesítési engedélyben szereplő hálózatbővítés egy részét, az antalhegyi területen tervezett 1-0-0, 1-1-0, 1-1-1, 1-1-2, 1-1-3, 1-2-0, 2-0-0 ágakat, mint II. ütemet. </w:t>
      </w:r>
    </w:p>
    <w:p>
      <w:pPr>
        <w:pStyle w:val="Normal"/>
        <w:spacing w:lineRule="auto" w:line="276"/>
        <w:rPr/>
      </w:pPr>
      <w:r>
        <w:rPr/>
        <w:drawing>
          <wp:inline distT="0" distB="0" distL="0" distR="0">
            <wp:extent cx="5801360" cy="3039110"/>
            <wp:effectExtent l="0" t="0" r="0" b="0"/>
            <wp:docPr id="2" name="Kép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2" descr=""/>
                    <pic:cNvPicPr>
                      <a:picLocks noChangeAspect="1" noChangeArrowheads="1"/>
                    </pic:cNvPicPr>
                  </pic:nvPicPr>
                  <pic:blipFill>
                    <a:blip r:embed="rId4"/>
                    <a:srcRect l="0" t="0" r="0" b="23101"/>
                    <a:stretch>
                      <a:fillRect/>
                    </a:stretch>
                  </pic:blipFill>
                  <pic:spPr bwMode="auto">
                    <a:xfrm>
                      <a:off x="0" y="0"/>
                      <a:ext cx="5801360" cy="3039110"/>
                    </a:xfrm>
                    <a:prstGeom prst="rect">
                      <a:avLst/>
                    </a:prstGeom>
                  </pic:spPr>
                </pic:pic>
              </a:graphicData>
            </a:graphic>
          </wp:inline>
        </w:drawing>
      </w:r>
    </w:p>
    <w:p>
      <w:pPr>
        <w:pStyle w:val="Caption"/>
        <w:jc w:val="center"/>
        <w:rPr/>
      </w:pPr>
      <w:r>
        <w:rPr>
          <w:rFonts w:cs="Times New Roman"/>
        </w:rPr>
        <w:t xml:space="preserve">Antalhegy szennyvízcsatornázás </w:t>
      </w:r>
    </w:p>
    <w:p>
      <w:pPr>
        <w:pStyle w:val="Normal"/>
        <w:rPr/>
      </w:pPr>
      <w:r>
        <w:rPr/>
      </w:r>
    </w:p>
    <w:p>
      <w:pPr>
        <w:pStyle w:val="Cmsor1"/>
        <w:numPr>
          <w:ilvl w:val="0"/>
          <w:numId w:val="3"/>
        </w:numPr>
        <w:ind w:left="431" w:hanging="431"/>
        <w:rPr>
          <w:rFonts w:ascii="Times New Roman" w:hAnsi="Times New Roman"/>
        </w:rPr>
      </w:pPr>
      <w:bookmarkStart w:id="3" w:name="_Toc453756414"/>
      <w:bookmarkEnd w:id="3"/>
      <w:r>
        <w:rPr>
          <w:rFonts w:ascii="Times New Roman" w:hAnsi="Times New Roman"/>
        </w:rPr>
        <w:t>AZ AJÁNLATKÉRŐ ÁLTAL NYÚJTOTT SZOLGÁLTATÁSOK</w:t>
      </w:r>
    </w:p>
    <w:p>
      <w:pPr>
        <w:pStyle w:val="Normal"/>
        <w:rPr/>
      </w:pPr>
      <w:r>
        <w:rPr/>
        <w:t>Megrendelő a megbízott műszaki ellenőr közreműködésével a következő szolgáltatásokat teljesíti:</w:t>
      </w:r>
    </w:p>
    <w:p>
      <w:pPr>
        <w:pStyle w:val="Normal"/>
        <w:numPr>
          <w:ilvl w:val="0"/>
          <w:numId w:val="4"/>
        </w:numPr>
        <w:rPr/>
      </w:pPr>
      <w:r>
        <w:rPr/>
        <w:t>a tulajdonában levő közterületet a munkavégzés céljából a Vállalkozó részére átadja (ez nem mentesíti Vállakozót a közútkezelői hozzájárulás beszerzése alól);</w:t>
      </w:r>
    </w:p>
    <w:p>
      <w:pPr>
        <w:pStyle w:val="Normal"/>
        <w:numPr>
          <w:ilvl w:val="0"/>
          <w:numId w:val="4"/>
        </w:numPr>
        <w:rPr/>
      </w:pPr>
      <w:r>
        <w:rPr/>
        <w:t>a létesítményekre korábban készített engedélyes tervet továbbdolgozásra Vállalkozónak átadja;</w:t>
      </w:r>
    </w:p>
    <w:p>
      <w:pPr>
        <w:pStyle w:val="Normal"/>
        <w:numPr>
          <w:ilvl w:val="0"/>
          <w:numId w:val="4"/>
        </w:numPr>
        <w:rPr/>
      </w:pPr>
      <w:r>
        <w:rPr/>
        <w:t>a létesítményekre korábban kiadott engedélyeket, birtokában lévő szakhatósági és egyéb közmű üzemeltetői hozzájárulásokat Vállalkozónak átadja,</w:t>
      </w:r>
    </w:p>
    <w:p>
      <w:pPr>
        <w:pStyle w:val="Normal"/>
        <w:ind w:left="708" w:hanging="0"/>
        <w:rPr/>
      </w:pPr>
      <w:r>
        <w:rPr/>
      </w:r>
    </w:p>
    <w:p>
      <w:pPr>
        <w:pStyle w:val="Normal"/>
        <w:rPr/>
      </w:pPr>
      <w:r>
        <w:rPr/>
        <w:t>Megrendelő egyéb szolgáltatást nem nyújt a Vállalkozónak, pl. a kiszoruló föld elhelyezését Vállakozónak kell megoldania.</w:t>
      </w:r>
    </w:p>
    <w:p>
      <w:pPr>
        <w:pStyle w:val="Normal"/>
        <w:rPr/>
      </w:pPr>
      <w:r>
        <w:rPr/>
      </w:r>
    </w:p>
    <w:p>
      <w:pPr>
        <w:pStyle w:val="Cmsor1"/>
        <w:numPr>
          <w:ilvl w:val="0"/>
          <w:numId w:val="3"/>
        </w:numPr>
        <w:ind w:left="431" w:hanging="431"/>
        <w:rPr>
          <w:rFonts w:ascii="Times New Roman" w:hAnsi="Times New Roman"/>
        </w:rPr>
      </w:pPr>
      <w:bookmarkStart w:id="4" w:name="_Toc453756415"/>
      <w:bookmarkEnd w:id="4"/>
      <w:r>
        <w:rPr>
          <w:rFonts w:ascii="Times New Roman" w:hAnsi="Times New Roman"/>
        </w:rPr>
        <w:t>FELADAT - projekt</w:t>
      </w:r>
    </w:p>
    <w:p>
      <w:pPr>
        <w:pStyle w:val="Szvegtrzs"/>
        <w:rPr/>
      </w:pPr>
      <w:r>
        <w:rPr>
          <w:rFonts w:eastAsia="Times New Roman"/>
          <w:szCs w:val="24"/>
        </w:rPr>
        <w:t xml:space="preserve">Az </w:t>
      </w:r>
      <w:r>
        <w:rPr>
          <w:rFonts w:eastAsia="Times New Roman"/>
          <w:i/>
          <w:szCs w:val="24"/>
        </w:rPr>
        <w:t>Antalhegy II. ütem</w:t>
      </w:r>
      <w:r>
        <w:rPr>
          <w:rFonts w:eastAsia="Times New Roman"/>
          <w:szCs w:val="24"/>
        </w:rPr>
        <w:t xml:space="preserve"> szennyvízcsatorna hálózat bővítési kivitelezési munkáinak teljes körű megvalósítása az alábbi fő tevékenységi elemekkel:</w:t>
      </w:r>
    </w:p>
    <w:p>
      <w:pPr>
        <w:pStyle w:val="Szvegtrzs"/>
        <w:numPr>
          <w:ilvl w:val="0"/>
          <w:numId w:val="2"/>
        </w:numPr>
        <w:rPr>
          <w:rFonts w:eastAsia="Times New Roman"/>
          <w:szCs w:val="24"/>
        </w:rPr>
      </w:pPr>
      <w:r>
        <w:rPr>
          <w:rFonts w:eastAsia="Times New Roman"/>
          <w:szCs w:val="24"/>
        </w:rPr>
        <w:t>a vízjogi létesítési és tender dokumentáció alapján a kiviteli tervek elkészítése, a munkakezdéshez szükséges közműegyeztetések és egyéb hozzájárulások beszerzése;</w:t>
      </w:r>
    </w:p>
    <w:p>
      <w:pPr>
        <w:pStyle w:val="Szvegtrzs"/>
        <w:numPr>
          <w:ilvl w:val="0"/>
          <w:numId w:val="2"/>
        </w:numPr>
        <w:rPr>
          <w:rFonts w:eastAsia="Times New Roman"/>
          <w:szCs w:val="24"/>
        </w:rPr>
      </w:pPr>
      <w:r>
        <w:rPr>
          <w:rFonts w:eastAsia="Times New Roman"/>
          <w:szCs w:val="24"/>
        </w:rPr>
        <w:t>a vízjogi létesítési engedélyben előírt hatósági bejelentések, vizsgálatok, előírások teljesítése;</w:t>
      </w:r>
    </w:p>
    <w:p>
      <w:pPr>
        <w:pStyle w:val="Szvegtrzs"/>
        <w:numPr>
          <w:ilvl w:val="0"/>
          <w:numId w:val="2"/>
        </w:numPr>
        <w:rPr/>
      </w:pPr>
      <w:r>
        <w:rPr>
          <w:rFonts w:eastAsia="Times New Roman"/>
          <w:szCs w:val="24"/>
        </w:rPr>
        <w:t>csatornaépítési kivitelezési munka végrehajtása az alábbi fő paraméterekkel:</w:t>
      </w:r>
    </w:p>
    <w:p>
      <w:pPr>
        <w:pStyle w:val="Szvegtrzs"/>
        <w:rPr>
          <w:rFonts w:eastAsia="Times New Roman"/>
          <w:szCs w:val="24"/>
        </w:rPr>
      </w:pPr>
      <w:r>
        <w:rPr>
          <w:rFonts w:eastAsia="Times New Roman"/>
          <w:szCs w:val="24"/>
        </w:rPr>
      </w:r>
    </w:p>
    <w:tbl>
      <w:tblPr>
        <w:tblW w:w="639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0" w:type="dxa"/>
          <w:bottom w:w="0" w:type="dxa"/>
          <w:right w:w="70" w:type="dxa"/>
        </w:tblCellMar>
        <w:tblLook w:firstRow="1" w:noVBand="1" w:lastRow="0" w:firstColumn="1" w:lastColumn="0" w:noHBand="0" w:val="04a0"/>
      </w:tblPr>
      <w:tblGrid>
        <w:gridCol w:w="1220"/>
        <w:gridCol w:w="1220"/>
        <w:gridCol w:w="1220"/>
        <w:gridCol w:w="1720"/>
        <w:gridCol w:w="1012"/>
      </w:tblGrid>
      <w:tr>
        <w:trPr>
          <w:trHeight w:val="510" w:hRule="atLeast"/>
        </w:trPr>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center"/>
          </w:tcPr>
          <w:p>
            <w:pPr>
              <w:pStyle w:val="Normal"/>
              <w:suppressAutoHyphens w:val="false"/>
              <w:jc w:val="center"/>
              <w:rPr/>
            </w:pPr>
            <w:r>
              <w:rPr>
                <w:rFonts w:eastAsia="Times New Roman"/>
                <w:b/>
                <w:bCs/>
                <w:sz w:val="20"/>
                <w:szCs w:val="20"/>
                <w:lang w:eastAsia="hu-HU"/>
              </w:rPr>
              <w:t>Ütem</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pPr>
            <w:r>
              <w:rPr>
                <w:rFonts w:eastAsia="Times New Roman"/>
                <w:b/>
                <w:bCs/>
                <w:sz w:val="20"/>
                <w:szCs w:val="20"/>
                <w:lang w:eastAsia="hu-HU"/>
              </w:rPr>
              <w:t>ág jele</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pPr>
            <w:r>
              <w:rPr>
                <w:rFonts w:eastAsia="Times New Roman"/>
                <w:b/>
                <w:bCs/>
                <w:sz w:val="20"/>
                <w:szCs w:val="20"/>
                <w:lang w:eastAsia="hu-HU"/>
              </w:rPr>
              <w:t>gerinc hossz (fm)</w:t>
            </w:r>
          </w:p>
        </w:tc>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pPr>
            <w:r>
              <w:rPr>
                <w:rFonts w:eastAsia="Times New Roman"/>
                <w:b/>
                <w:bCs/>
                <w:sz w:val="20"/>
                <w:szCs w:val="20"/>
                <w:lang w:eastAsia="hu-HU"/>
              </w:rPr>
              <w:t>házi bekötések száma (db)</w:t>
            </w:r>
          </w:p>
        </w:tc>
        <w:tc>
          <w:tcPr>
            <w:tcW w:w="1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pPr>
            <w:r>
              <w:rPr>
                <w:rFonts w:eastAsia="Times New Roman"/>
                <w:b/>
                <w:bCs/>
                <w:sz w:val="20"/>
                <w:szCs w:val="20"/>
                <w:lang w:eastAsia="hu-HU"/>
              </w:rPr>
              <w:t>házi átemelő (db)</w:t>
            </w:r>
          </w:p>
        </w:tc>
      </w:tr>
      <w:tr>
        <w:trPr>
          <w:trHeight w:val="255" w:hRule="atLeast"/>
        </w:trPr>
        <w:tc>
          <w:tcPr>
            <w:tcW w:w="1220" w:type="dxa"/>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20" w:type="dxa"/>
            </w:tcMar>
            <w:vAlign w:val="center"/>
          </w:tcPr>
          <w:p>
            <w:pPr>
              <w:pStyle w:val="Normal"/>
              <w:suppressAutoHyphens w:val="false"/>
              <w:jc w:val="center"/>
              <w:rPr/>
            </w:pPr>
            <w:r>
              <w:rPr>
                <w:rFonts w:eastAsia="Times New Roman"/>
                <w:sz w:val="20"/>
                <w:szCs w:val="20"/>
                <w:lang w:eastAsia="hu-HU"/>
              </w:rPr>
              <w:t xml:space="preserve">II. ütem </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pPr>
            <w:r>
              <w:rPr>
                <w:rFonts w:eastAsia="Times New Roman"/>
                <w:b w:val="false"/>
                <w:bCs w:val="false"/>
                <w:sz w:val="24"/>
                <w:szCs w:val="24"/>
                <w:lang w:eastAsia="hu-HU"/>
              </w:rPr>
              <w:t>1-0-0</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pPr>
            <w:r>
              <w:rPr>
                <w:rFonts w:eastAsia="Times New Roman"/>
                <w:b w:val="false"/>
                <w:bCs w:val="false"/>
                <w:sz w:val="24"/>
                <w:szCs w:val="24"/>
                <w:lang w:eastAsia="hu-HU"/>
              </w:rPr>
              <w:t>522</w:t>
            </w:r>
          </w:p>
        </w:tc>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rFonts w:eastAsia="Times New Roman"/>
                <w:b w:val="false"/>
                <w:bCs w:val="false"/>
                <w:sz w:val="24"/>
                <w:szCs w:val="24"/>
                <w:lang w:eastAsia="hu-HU"/>
              </w:rPr>
              <w:t>28</w:t>
            </w:r>
          </w:p>
        </w:tc>
        <w:tc>
          <w:tcPr>
            <w:tcW w:w="1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rFonts w:eastAsia="Times New Roman"/>
                <w:b w:val="false"/>
                <w:bCs w:val="false"/>
                <w:sz w:val="24"/>
                <w:szCs w:val="24"/>
                <w:lang w:eastAsia="hu-HU"/>
              </w:rPr>
              <w:t>7</w:t>
            </w:r>
          </w:p>
        </w:tc>
      </w:tr>
      <w:tr>
        <w:trPr>
          <w:trHeight w:val="255" w:hRule="atLeast"/>
        </w:trPr>
        <w:tc>
          <w:tcPr>
            <w:tcW w:w="1220"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20" w:type="dxa"/>
            </w:tcMar>
            <w:vAlign w:val="center"/>
          </w:tcPr>
          <w:p>
            <w:pPr>
              <w:pStyle w:val="Normal"/>
              <w:suppressAutoHyphens w:val="false"/>
              <w:jc w:val="left"/>
              <w:rPr>
                <w:rFonts w:eastAsia="Times New Roman"/>
                <w:sz w:val="20"/>
                <w:szCs w:val="20"/>
                <w:lang w:eastAsia="hu-HU"/>
              </w:rPr>
            </w:pPr>
            <w:r>
              <w:rPr>
                <w:rFonts w:eastAsia="Times New Roman"/>
                <w:sz w:val="20"/>
                <w:szCs w:val="20"/>
                <w:lang w:eastAsia="hu-HU"/>
              </w:rPr>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pPr>
            <w:r>
              <w:rPr>
                <w:rFonts w:eastAsia="Times New Roman"/>
                <w:b w:val="false"/>
                <w:bCs w:val="false"/>
                <w:sz w:val="24"/>
                <w:szCs w:val="24"/>
                <w:lang w:eastAsia="hu-HU"/>
              </w:rPr>
              <w:t>1-1-0</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pPr>
            <w:r>
              <w:rPr>
                <w:rFonts w:eastAsia="Times New Roman"/>
                <w:b w:val="false"/>
                <w:bCs w:val="false"/>
                <w:sz w:val="24"/>
                <w:szCs w:val="24"/>
                <w:lang w:eastAsia="hu-HU"/>
              </w:rPr>
              <w:t>788</w:t>
            </w:r>
          </w:p>
        </w:tc>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rFonts w:eastAsia="Times New Roman"/>
                <w:b w:val="false"/>
                <w:bCs w:val="false"/>
                <w:sz w:val="24"/>
                <w:szCs w:val="24"/>
                <w:lang w:eastAsia="hu-HU"/>
              </w:rPr>
              <w:t>65</w:t>
            </w:r>
          </w:p>
        </w:tc>
        <w:tc>
          <w:tcPr>
            <w:tcW w:w="1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rFonts w:eastAsia="Times New Roman"/>
                <w:b w:val="false"/>
                <w:bCs w:val="false"/>
                <w:sz w:val="24"/>
                <w:szCs w:val="24"/>
                <w:lang w:eastAsia="hu-HU"/>
              </w:rPr>
              <w:t>27</w:t>
            </w:r>
          </w:p>
        </w:tc>
      </w:tr>
      <w:tr>
        <w:trPr>
          <w:trHeight w:val="255" w:hRule="atLeast"/>
        </w:trPr>
        <w:tc>
          <w:tcPr>
            <w:tcW w:w="1220"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20" w:type="dxa"/>
            </w:tcMar>
            <w:vAlign w:val="center"/>
          </w:tcPr>
          <w:p>
            <w:pPr>
              <w:pStyle w:val="Normal"/>
              <w:suppressAutoHyphens w:val="false"/>
              <w:jc w:val="left"/>
              <w:rPr>
                <w:rFonts w:eastAsia="Times New Roman"/>
                <w:sz w:val="20"/>
                <w:szCs w:val="20"/>
                <w:lang w:eastAsia="hu-HU"/>
              </w:rPr>
            </w:pPr>
            <w:r>
              <w:rPr>
                <w:rFonts w:eastAsia="Times New Roman"/>
                <w:sz w:val="20"/>
                <w:szCs w:val="20"/>
                <w:lang w:eastAsia="hu-HU"/>
              </w:rPr>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pPr>
            <w:r>
              <w:rPr>
                <w:rFonts w:eastAsia="Times New Roman"/>
                <w:b w:val="false"/>
                <w:bCs w:val="false"/>
                <w:sz w:val="24"/>
                <w:szCs w:val="24"/>
                <w:lang w:eastAsia="hu-HU"/>
              </w:rPr>
              <w:t>1-1-1</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pPr>
            <w:r>
              <w:rPr>
                <w:rFonts w:eastAsia="Times New Roman"/>
                <w:b w:val="false"/>
                <w:bCs w:val="false"/>
                <w:sz w:val="24"/>
                <w:szCs w:val="24"/>
                <w:lang w:eastAsia="hu-HU"/>
              </w:rPr>
              <w:t>20</w:t>
            </w:r>
          </w:p>
        </w:tc>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rFonts w:eastAsia="Times New Roman"/>
                <w:b w:val="false"/>
                <w:bCs w:val="false"/>
                <w:sz w:val="24"/>
                <w:szCs w:val="24"/>
                <w:lang w:eastAsia="hu-HU"/>
              </w:rPr>
              <w:t>2</w:t>
            </w:r>
          </w:p>
        </w:tc>
        <w:tc>
          <w:tcPr>
            <w:tcW w:w="1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rFonts w:eastAsia="Times New Roman"/>
                <w:b w:val="false"/>
                <w:bCs w:val="false"/>
                <w:sz w:val="24"/>
                <w:szCs w:val="24"/>
                <w:lang w:eastAsia="hu-HU"/>
              </w:rPr>
              <w:t>0</w:t>
            </w:r>
          </w:p>
        </w:tc>
      </w:tr>
      <w:tr>
        <w:trPr>
          <w:trHeight w:val="255" w:hRule="atLeast"/>
        </w:trPr>
        <w:tc>
          <w:tcPr>
            <w:tcW w:w="1220"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20" w:type="dxa"/>
            </w:tcMar>
            <w:vAlign w:val="center"/>
          </w:tcPr>
          <w:p>
            <w:pPr>
              <w:pStyle w:val="Normal"/>
              <w:suppressAutoHyphens w:val="false"/>
              <w:jc w:val="left"/>
              <w:rPr>
                <w:rFonts w:eastAsia="Times New Roman"/>
                <w:sz w:val="20"/>
                <w:szCs w:val="20"/>
                <w:lang w:eastAsia="hu-HU"/>
              </w:rPr>
            </w:pPr>
            <w:r>
              <w:rPr>
                <w:rFonts w:eastAsia="Times New Roman"/>
                <w:sz w:val="20"/>
                <w:szCs w:val="20"/>
                <w:lang w:eastAsia="hu-HU"/>
              </w:rPr>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pPr>
            <w:r>
              <w:rPr>
                <w:rFonts w:eastAsia="Times New Roman"/>
                <w:b w:val="false"/>
                <w:bCs w:val="false"/>
                <w:sz w:val="24"/>
                <w:szCs w:val="24"/>
                <w:lang w:eastAsia="hu-HU"/>
              </w:rPr>
              <w:t>1-1-2</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pPr>
            <w:r>
              <w:rPr>
                <w:rFonts w:eastAsia="Times New Roman"/>
                <w:b w:val="false"/>
                <w:bCs w:val="false"/>
                <w:sz w:val="24"/>
                <w:szCs w:val="24"/>
                <w:lang w:eastAsia="hu-HU"/>
              </w:rPr>
              <w:t>40</w:t>
            </w:r>
          </w:p>
        </w:tc>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rFonts w:eastAsia="Times New Roman"/>
                <w:b w:val="false"/>
                <w:bCs w:val="false"/>
                <w:sz w:val="24"/>
                <w:szCs w:val="24"/>
                <w:lang w:eastAsia="hu-HU"/>
              </w:rPr>
              <w:t>3</w:t>
            </w:r>
          </w:p>
        </w:tc>
        <w:tc>
          <w:tcPr>
            <w:tcW w:w="1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rFonts w:eastAsia="Times New Roman"/>
                <w:b w:val="false"/>
                <w:bCs w:val="false"/>
                <w:sz w:val="24"/>
                <w:szCs w:val="24"/>
                <w:lang w:eastAsia="hu-HU"/>
              </w:rPr>
              <w:t>0</w:t>
            </w:r>
          </w:p>
        </w:tc>
      </w:tr>
      <w:tr>
        <w:trPr>
          <w:trHeight w:val="255" w:hRule="atLeast"/>
        </w:trPr>
        <w:tc>
          <w:tcPr>
            <w:tcW w:w="1220"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20" w:type="dxa"/>
            </w:tcMar>
            <w:vAlign w:val="center"/>
          </w:tcPr>
          <w:p>
            <w:pPr>
              <w:pStyle w:val="Normal"/>
              <w:suppressAutoHyphens w:val="false"/>
              <w:jc w:val="right"/>
              <w:rPr>
                <w:rFonts w:eastAsia="Times New Roman"/>
                <w:sz w:val="20"/>
                <w:szCs w:val="20"/>
                <w:lang w:eastAsia="hu-HU"/>
              </w:rPr>
            </w:pPr>
            <w:r>
              <w:rPr>
                <w:rFonts w:eastAsia="Times New Roman"/>
                <w:sz w:val="20"/>
                <w:szCs w:val="20"/>
                <w:lang w:eastAsia="hu-HU"/>
              </w:rPr>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pPr>
            <w:r>
              <w:rPr>
                <w:rFonts w:eastAsia="Times New Roman"/>
                <w:b w:val="false"/>
                <w:bCs w:val="false"/>
                <w:sz w:val="24"/>
                <w:szCs w:val="24"/>
                <w:lang w:eastAsia="hu-HU"/>
              </w:rPr>
              <w:t>1-1-3</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bottom"/>
          </w:tcPr>
          <w:p>
            <w:pPr>
              <w:pStyle w:val="Normal"/>
              <w:suppressAutoHyphens w:val="false"/>
              <w:jc w:val="right"/>
              <w:rPr/>
            </w:pPr>
            <w:r>
              <w:rPr>
                <w:b w:val="false"/>
                <w:bCs w:val="false"/>
                <w:sz w:val="24"/>
                <w:szCs w:val="24"/>
              </w:rPr>
              <w:t>123</w:t>
            </w:r>
          </w:p>
        </w:tc>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b w:val="false"/>
                <w:bCs w:val="false"/>
                <w:sz w:val="24"/>
                <w:szCs w:val="24"/>
              </w:rPr>
              <w:t>6</w:t>
            </w:r>
          </w:p>
        </w:tc>
        <w:tc>
          <w:tcPr>
            <w:tcW w:w="1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b w:val="false"/>
                <w:bCs w:val="false"/>
                <w:sz w:val="24"/>
                <w:szCs w:val="24"/>
              </w:rPr>
              <w:t>4</w:t>
            </w:r>
          </w:p>
        </w:tc>
      </w:tr>
      <w:tr>
        <w:trPr>
          <w:trHeight w:val="255" w:hRule="atLeast"/>
        </w:trPr>
        <w:tc>
          <w:tcPr>
            <w:tcW w:w="1220"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20" w:type="dxa"/>
            </w:tcMar>
            <w:vAlign w:val="center"/>
          </w:tcPr>
          <w:p>
            <w:pPr>
              <w:pStyle w:val="Normal"/>
              <w:suppressAutoHyphens w:val="false"/>
              <w:jc w:val="right"/>
              <w:rPr>
                <w:rFonts w:eastAsia="Times New Roman"/>
                <w:sz w:val="20"/>
                <w:szCs w:val="20"/>
                <w:lang w:eastAsia="hu-HU"/>
              </w:rPr>
            </w:pPr>
            <w:r>
              <w:rPr>
                <w:rFonts w:eastAsia="Times New Roman"/>
                <w:sz w:val="20"/>
                <w:szCs w:val="20"/>
                <w:lang w:eastAsia="hu-HU"/>
              </w:rPr>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pPr>
            <w:r>
              <w:rPr>
                <w:rFonts w:eastAsia="Times New Roman"/>
                <w:b w:val="false"/>
                <w:bCs w:val="false"/>
                <w:sz w:val="24"/>
                <w:szCs w:val="24"/>
                <w:lang w:eastAsia="hu-HU"/>
              </w:rPr>
              <w:t>1-2-0</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bottom"/>
          </w:tcPr>
          <w:p>
            <w:pPr>
              <w:pStyle w:val="Normal"/>
              <w:suppressAutoHyphens w:val="false"/>
              <w:jc w:val="right"/>
              <w:rPr/>
            </w:pPr>
            <w:r>
              <w:rPr>
                <w:b w:val="false"/>
                <w:bCs w:val="false"/>
                <w:sz w:val="24"/>
                <w:szCs w:val="24"/>
              </w:rPr>
              <w:t>115</w:t>
            </w:r>
          </w:p>
        </w:tc>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b w:val="false"/>
                <w:bCs w:val="false"/>
                <w:sz w:val="24"/>
                <w:szCs w:val="24"/>
              </w:rPr>
              <w:t>11</w:t>
            </w:r>
          </w:p>
        </w:tc>
        <w:tc>
          <w:tcPr>
            <w:tcW w:w="1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b w:val="false"/>
                <w:bCs w:val="false"/>
                <w:sz w:val="24"/>
                <w:szCs w:val="24"/>
              </w:rPr>
              <w:t>4</w:t>
            </w:r>
          </w:p>
        </w:tc>
      </w:tr>
      <w:tr>
        <w:trPr>
          <w:trHeight w:val="255" w:hRule="atLeast"/>
        </w:trPr>
        <w:tc>
          <w:tcPr>
            <w:tcW w:w="1220"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20" w:type="dxa"/>
            </w:tcMar>
            <w:vAlign w:val="center"/>
          </w:tcPr>
          <w:p>
            <w:pPr>
              <w:pStyle w:val="Normal"/>
              <w:suppressAutoHyphens w:val="false"/>
              <w:jc w:val="right"/>
              <w:rPr>
                <w:rFonts w:eastAsia="Times New Roman"/>
                <w:sz w:val="20"/>
                <w:szCs w:val="20"/>
                <w:lang w:eastAsia="hu-HU"/>
              </w:rPr>
            </w:pPr>
            <w:r>
              <w:rPr>
                <w:rFonts w:eastAsia="Times New Roman"/>
                <w:sz w:val="20"/>
                <w:szCs w:val="20"/>
                <w:lang w:eastAsia="hu-HU"/>
              </w:rPr>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pPr>
            <w:r>
              <w:rPr>
                <w:rFonts w:eastAsia="Times New Roman"/>
                <w:b w:val="false"/>
                <w:bCs w:val="false"/>
                <w:sz w:val="24"/>
                <w:szCs w:val="24"/>
                <w:lang w:eastAsia="hu-HU"/>
              </w:rPr>
              <w:t>2-0-0</w:t>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bottom"/>
          </w:tcPr>
          <w:p>
            <w:pPr>
              <w:pStyle w:val="Normal"/>
              <w:suppressAutoHyphens w:val="false"/>
              <w:jc w:val="right"/>
              <w:rPr/>
            </w:pPr>
            <w:r>
              <w:rPr>
                <w:b w:val="false"/>
                <w:bCs w:val="false"/>
                <w:sz w:val="24"/>
                <w:szCs w:val="24"/>
              </w:rPr>
              <w:t xml:space="preserve"> </w:t>
            </w:r>
            <w:r>
              <w:rPr>
                <w:b w:val="false"/>
                <w:bCs w:val="false"/>
                <w:sz w:val="24"/>
                <w:szCs w:val="24"/>
              </w:rPr>
              <w:t>75</w:t>
            </w:r>
          </w:p>
        </w:tc>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b w:val="false"/>
                <w:bCs w:val="false"/>
                <w:sz w:val="24"/>
                <w:szCs w:val="24"/>
              </w:rPr>
              <w:t>3</w:t>
            </w:r>
          </w:p>
        </w:tc>
        <w:tc>
          <w:tcPr>
            <w:tcW w:w="1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b w:val="false"/>
                <w:bCs w:val="false"/>
                <w:sz w:val="24"/>
                <w:szCs w:val="24"/>
              </w:rPr>
              <w:t>0</w:t>
            </w:r>
          </w:p>
        </w:tc>
      </w:tr>
      <w:tr>
        <w:trPr>
          <w:trHeight w:val="255" w:hRule="atLeast"/>
        </w:trPr>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eastAsia="Times New Roman"/>
                <w:sz w:val="20"/>
                <w:szCs w:val="20"/>
                <w:lang w:eastAsia="hu-HU"/>
              </w:rPr>
            </w:pPr>
            <w:r>
              <w:rPr>
                <w:rFonts w:eastAsia="Times New Roman"/>
                <w:sz w:val="20"/>
                <w:szCs w:val="20"/>
                <w:lang w:eastAsia="hu-HU"/>
              </w:rPr>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left"/>
              <w:rPr>
                <w:rFonts w:eastAsia="Times New Roman"/>
                <w:sz w:val="20"/>
                <w:szCs w:val="20"/>
                <w:lang w:eastAsia="hu-HU"/>
              </w:rPr>
            </w:pPr>
            <w:r>
              <w:rPr>
                <w:rFonts w:eastAsia="Times New Roman"/>
                <w:sz w:val="20"/>
                <w:szCs w:val="20"/>
                <w:lang w:eastAsia="hu-HU"/>
              </w:rPr>
            </w:r>
          </w:p>
        </w:tc>
        <w:tc>
          <w:tcPr>
            <w:tcW w:w="1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bottom"/>
          </w:tcPr>
          <w:p>
            <w:pPr>
              <w:pStyle w:val="Normal"/>
              <w:suppressAutoHyphens w:val="false"/>
              <w:jc w:val="right"/>
              <w:rPr/>
            </w:pPr>
            <w:r>
              <w:rPr>
                <w:rFonts w:eastAsia="Times New Roman"/>
                <w:b/>
                <w:bCs/>
                <w:sz w:val="20"/>
                <w:szCs w:val="20"/>
                <w:lang w:eastAsia="hu-HU"/>
              </w:rPr>
              <w:t>1683</w:t>
            </w:r>
          </w:p>
        </w:tc>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pPr>
            <w:r>
              <w:rPr>
                <w:rFonts w:eastAsia="Times New Roman"/>
                <w:b/>
                <w:bCs/>
                <w:sz w:val="20"/>
                <w:szCs w:val="20"/>
                <w:lang w:eastAsia="hu-HU"/>
              </w:rPr>
              <w:t>118</w:t>
            </w:r>
          </w:p>
        </w:tc>
        <w:tc>
          <w:tcPr>
            <w:tcW w:w="1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b/>
                <w:b/>
                <w:bCs/>
              </w:rPr>
            </w:pPr>
            <w:r>
              <w:rPr>
                <w:b/>
                <w:bCs/>
              </w:rPr>
              <w:t>42</w:t>
            </w:r>
          </w:p>
        </w:tc>
      </w:tr>
    </w:tbl>
    <w:p>
      <w:pPr>
        <w:pStyle w:val="Normal"/>
        <w:rPr>
          <w:rFonts w:eastAsia="Times New Roman"/>
          <w:szCs w:val="24"/>
        </w:rPr>
      </w:pPr>
      <w:r>
        <w:rPr>
          <w:rFonts w:eastAsia="Times New Roman"/>
          <w:szCs w:val="24"/>
        </w:rPr>
      </w:r>
    </w:p>
    <w:p>
      <w:pPr>
        <w:pStyle w:val="Szvegtrzs"/>
        <w:rPr>
          <w:rFonts w:eastAsia="Times New Roman"/>
          <w:szCs w:val="24"/>
        </w:rPr>
      </w:pPr>
      <w:r>
        <w:rPr>
          <w:rFonts w:eastAsia="Times New Roman"/>
          <w:szCs w:val="24"/>
        </w:rPr>
      </w:r>
    </w:p>
    <w:p>
      <w:pPr>
        <w:pStyle w:val="Szvegtrzs"/>
        <w:numPr>
          <w:ilvl w:val="0"/>
          <w:numId w:val="2"/>
        </w:numPr>
        <w:rPr>
          <w:rFonts w:eastAsia="Times New Roman"/>
          <w:szCs w:val="24"/>
        </w:rPr>
      </w:pPr>
      <w:r>
        <w:rPr>
          <w:rFonts w:eastAsia="Times New Roman"/>
          <w:szCs w:val="24"/>
        </w:rPr>
        <w:t xml:space="preserve">a kivitelezéshez kapcsolódó járulékos feladatok elvégzése (a teljesség igénye nélkül: organizáció, munkaterület őrzése, régészeti felügyelet, közlekedés biztosítása, forgalomtechnika, szükséges vizsgálatok, közmű egyeztetések, vízzárósági próbák, megvalósulási tervek, geodéziai bemérések, kamerás vizsgálatok, vagyonleltár, mindezek dokumentálása). </w:t>
      </w:r>
    </w:p>
    <w:p>
      <w:pPr>
        <w:pStyle w:val="Szvegtrzs"/>
        <w:rPr/>
      </w:pPr>
      <w:r>
        <w:rPr/>
        <w:t>Összességében az II. ütemben érintett ingatlanok szennyvízcsatornázása a szolgáltatási határig, azon túl pedig a bekötési terv vagy házi beemelő telepítési tervének elkészítése.</w:t>
      </w:r>
    </w:p>
    <w:p>
      <w:pPr>
        <w:pStyle w:val="Cm"/>
        <w:numPr>
          <w:ilvl w:val="0"/>
          <w:numId w:val="5"/>
        </w:numPr>
        <w:ind w:left="0" w:hanging="0"/>
        <w:rPr/>
      </w:pPr>
      <w:bookmarkStart w:id="5" w:name="_Toc453756416"/>
      <w:bookmarkEnd w:id="5"/>
      <w:r>
        <w:rPr/>
        <w:t>FEJEZET: AZ AJÁNLATKÉRŐ ÁLTAL MEGHATÁROZOTT ÁLTALÁNOS ELŐÍRÁSOK</w:t>
      </w:r>
    </w:p>
    <w:p>
      <w:pPr>
        <w:pStyle w:val="Cmsor1"/>
        <w:numPr>
          <w:ilvl w:val="0"/>
          <w:numId w:val="6"/>
        </w:numPr>
        <w:rPr>
          <w:rFonts w:ascii="Times New Roman" w:hAnsi="Times New Roman"/>
        </w:rPr>
      </w:pPr>
      <w:bookmarkStart w:id="6" w:name="_Toc453756417"/>
      <w:bookmarkEnd w:id="6"/>
      <w:r>
        <w:rPr>
          <w:rFonts w:ascii="Times New Roman" w:hAnsi="Times New Roman"/>
        </w:rPr>
        <w:t>Általános minőségi előírások</w:t>
      </w:r>
    </w:p>
    <w:p>
      <w:pPr>
        <w:pStyle w:val="Szvegtrzs"/>
        <w:rPr/>
      </w:pPr>
      <w:r>
        <w:rPr/>
        <w:t>A Vállalkozónak a munkáját úgy kell végeznie, hogy a Projekt a hatósági engedélyekben foglaltaknak megfelelően, maradéktalanul megvalósuljon és az üzemeltetési engedély hatósági kiadásának ne legyen vízjogi létesítési engedélytől való eltérésre visszavezethető akadálya.</w:t>
      </w:r>
    </w:p>
    <w:p>
      <w:pPr>
        <w:pStyle w:val="Szvegtrzs"/>
        <w:rPr>
          <w:rFonts w:eastAsia="Times New Roman"/>
          <w:szCs w:val="24"/>
        </w:rPr>
      </w:pPr>
      <w:r>
        <w:rPr>
          <w:rFonts w:eastAsia="Times New Roman"/>
          <w:szCs w:val="24"/>
        </w:rPr>
        <w:t>A létesítmények és azok részei a birtokba adást követő 50 év alatt legyenek alkalmasak azok funkció szerinti használatára, az ajánlatkérési dokumentációban meghatározott minőségi jellemzők olyan mértékű csökkenése nélkül, amely már az - egyéb, vonatkozó jogszabályokban rögzített - alapvető előírásoknak való nem megfelelést eredményezné.</w:t>
      </w:r>
    </w:p>
    <w:p>
      <w:pPr>
        <w:pStyle w:val="Szvegtrzs"/>
        <w:rPr>
          <w:rFonts w:eastAsia="Times New Roman"/>
          <w:szCs w:val="24"/>
        </w:rPr>
      </w:pPr>
      <w:r>
        <w:rPr>
          <w:rFonts w:eastAsia="Times New Roman"/>
          <w:szCs w:val="24"/>
        </w:rPr>
        <w:t>Általános követelmény, hogy a Vállalkozó által kiviteli tervek formájában megtervezésre kerülő létesítmény műszaki specifikációját az alábbi sorrend szerint alkalmazandó műszaki előírásokra való hivatkozással kell meghatározni.</w:t>
      </w:r>
    </w:p>
    <w:p>
      <w:pPr>
        <w:pStyle w:val="Normal"/>
        <w:numPr>
          <w:ilvl w:val="0"/>
          <w:numId w:val="7"/>
        </w:numPr>
        <w:rPr/>
      </w:pPr>
      <w:r>
        <w:rPr/>
        <w:t>az európai szabványokat közzétevő nemzeti szabványok</w:t>
      </w:r>
    </w:p>
    <w:p>
      <w:pPr>
        <w:pStyle w:val="Normal"/>
        <w:numPr>
          <w:ilvl w:val="0"/>
          <w:numId w:val="7"/>
        </w:numPr>
        <w:rPr/>
      </w:pPr>
      <w:r>
        <w:rPr/>
        <w:t>európai műszaki engedély, vagy közös műszaki előírások</w:t>
      </w:r>
    </w:p>
    <w:p>
      <w:pPr>
        <w:pStyle w:val="Normal"/>
        <w:numPr>
          <w:ilvl w:val="0"/>
          <w:numId w:val="7"/>
        </w:numPr>
        <w:rPr/>
      </w:pPr>
      <w:r>
        <w:rPr/>
        <w:t>egyéb nemzetközi szabványok</w:t>
      </w:r>
    </w:p>
    <w:p>
      <w:pPr>
        <w:pStyle w:val="Normal"/>
        <w:numPr>
          <w:ilvl w:val="0"/>
          <w:numId w:val="7"/>
        </w:numPr>
        <w:rPr/>
      </w:pPr>
      <w:r>
        <w:rPr/>
        <w:t>európai szabványügyi szervezetek által kidolgozott műszaki ajánlások</w:t>
      </w:r>
    </w:p>
    <w:p>
      <w:pPr>
        <w:pStyle w:val="Normal"/>
        <w:numPr>
          <w:ilvl w:val="0"/>
          <w:numId w:val="7"/>
        </w:numPr>
        <w:rPr/>
      </w:pPr>
      <w:r>
        <w:rPr/>
        <w:t>egyéb nemzeti szabványok</w:t>
      </w:r>
    </w:p>
    <w:p>
      <w:pPr>
        <w:pStyle w:val="Normal"/>
        <w:numPr>
          <w:ilvl w:val="0"/>
          <w:numId w:val="7"/>
        </w:numPr>
        <w:rPr/>
      </w:pPr>
      <w:r>
        <w:rPr/>
        <w:t>nemzeti műszaki engedélyek és nemzeti műszaki előírások</w:t>
      </w:r>
    </w:p>
    <w:p>
      <w:pPr>
        <w:pStyle w:val="Szvegtrzs"/>
        <w:rPr>
          <w:rFonts w:eastAsia="Times New Roman"/>
          <w:szCs w:val="24"/>
        </w:rPr>
      </w:pPr>
      <w:r>
        <w:rPr>
          <w:rFonts w:eastAsia="Times New Roman"/>
          <w:szCs w:val="24"/>
        </w:rPr>
        <w:t>Mindazon műszaki és minőségi jellemzők esetén, ahol a munkákkal és létesítménnyel szemben támasztott követelményeket már jelen közbeszerzési műszaki leírás is a fenti műszaki előírásokra való hivatkozással határozta meg, a Megrendelő követelményeinek minden ilyen hivatkozását a „vagy azzal egyenértékű” kiegészítéssel együtt kell értelmezni és elfogadni. Ajánlattevőnek ajánlatában a konkrét beépítési típusokat/gyártmányokat meg kell adnia.</w:t>
      </w:r>
    </w:p>
    <w:p>
      <w:pPr>
        <w:pStyle w:val="Szvegtrzs"/>
        <w:rPr>
          <w:rFonts w:eastAsia="Times New Roman"/>
          <w:szCs w:val="24"/>
        </w:rPr>
      </w:pPr>
      <w:r>
        <w:rPr>
          <w:rFonts w:eastAsia="Times New Roman"/>
          <w:szCs w:val="24"/>
        </w:rPr>
        <w:t>Amennyiben az ajánlatban az ajánlatkérési dokumentációban leírtaktól eltérő gyártmányú, eredetű, típusú dolog beépítésre, eljárás alkalmazására vonatkozó igényét ajánlattevő az ajánlatában nem fogalmazza meg, úgy az ajánlatkérési dokumentációban leírt gyártmányú, eredetű, típusú dolog beépítésre, technológia és eljárás kerülhet alkalmazásra. Az ajánlattételi dokumentációban leírtaktól eltérő gyártmányú, eredetű, típusú dolog beépítésre, csak a Megrendelő és a Műszaki ellenőr együttes jóváhagyását követően kerülhet sor.</w:t>
      </w:r>
    </w:p>
    <w:p>
      <w:pPr>
        <w:pStyle w:val="Szvegtrzs"/>
        <w:rPr>
          <w:rFonts w:eastAsia="Times New Roman"/>
          <w:szCs w:val="24"/>
        </w:rPr>
      </w:pPr>
      <w:r>
        <w:rPr>
          <w:rFonts w:eastAsia="Times New Roman"/>
          <w:szCs w:val="24"/>
        </w:rPr>
        <w:t xml:space="preserve">A beépítésre kerülő anyagoknak, szerkezeteknek meg kell felelniük </w:t>
      </w:r>
      <w:r>
        <w:rPr>
          <w:bCs/>
          <w:szCs w:val="24"/>
        </w:rPr>
        <w:t>az építési termék építménybe történő betervezésének és beépítésének, ennek során a teljesítmény igazolásának részletes szabályairól szóló</w:t>
      </w:r>
      <w:r>
        <w:rPr>
          <w:szCs w:val="24"/>
        </w:rPr>
        <w:t xml:space="preserve"> 2</w:t>
      </w:r>
      <w:r>
        <w:rPr>
          <w:bCs/>
          <w:szCs w:val="24"/>
        </w:rPr>
        <w:t>75/2013. (VII. 16.) Korm. sz.</w:t>
      </w:r>
      <w:r>
        <w:rPr>
          <w:rFonts w:eastAsia="Times New Roman"/>
          <w:szCs w:val="24"/>
        </w:rPr>
        <w:t xml:space="preserve"> rendeletben leírtaknak.</w:t>
      </w:r>
    </w:p>
    <w:p>
      <w:pPr>
        <w:pStyle w:val="Szvegtrzs"/>
        <w:rPr>
          <w:rFonts w:eastAsia="Times New Roman"/>
          <w:szCs w:val="24"/>
        </w:rPr>
      </w:pPr>
      <w:r>
        <w:rPr>
          <w:rFonts w:eastAsia="Times New Roman"/>
          <w:szCs w:val="24"/>
        </w:rPr>
        <w:t>Ahol a Megrendelői követelményekben megadott műszaki szabvány, előírás időközben hatályon kívül lett helyezve, vagy vissza lett vonva, nyertes Vállalkozónak a Munkakezdési Jelentés vonatkozó fejezetében kell erre kitérni, megadva az időközben hatályon kívül helyezett műszaki szabvánnyal egyenértékű megoldás műszaki előírásának hivatkozási számát.</w:t>
      </w:r>
    </w:p>
    <w:p>
      <w:pPr>
        <w:pStyle w:val="Szvegtrzs"/>
        <w:rPr>
          <w:rFonts w:eastAsia="Times New Roman"/>
          <w:szCs w:val="24"/>
        </w:rPr>
      </w:pPr>
      <w:r>
        <w:rPr>
          <w:rFonts w:eastAsia="Times New Roman"/>
          <w:szCs w:val="24"/>
        </w:rPr>
        <w:t>A Vállalkozó tehát egy adott Megrendelői követelmény biztosítására a hivatkozottól funkcionalitásában megegyező, de műszaki részletekben eltérő megoldást is választhat, alkalmazhat, de a hivatkozottal való egyenértékűségét minden ilyen esetben neki magának kell biztosítania, és bizonyítania.</w:t>
      </w:r>
    </w:p>
    <w:p>
      <w:pPr>
        <w:pStyle w:val="Cmsor1"/>
        <w:numPr>
          <w:ilvl w:val="0"/>
          <w:numId w:val="3"/>
        </w:numPr>
        <w:ind w:left="431" w:hanging="431"/>
        <w:rPr>
          <w:rFonts w:ascii="Times New Roman" w:hAnsi="Times New Roman"/>
        </w:rPr>
      </w:pPr>
      <w:bookmarkStart w:id="7" w:name="_Toc453756418"/>
      <w:bookmarkEnd w:id="7"/>
      <w:r>
        <w:rPr>
          <w:rFonts w:ascii="Times New Roman" w:hAnsi="Times New Roman"/>
        </w:rPr>
        <w:t>A Vállalkozó feladatai általánosságban</w:t>
      </w:r>
    </w:p>
    <w:p>
      <w:pPr>
        <w:pStyle w:val="Szvegtrzs"/>
        <w:rPr>
          <w:rFonts w:eastAsia="Times New Roman"/>
          <w:szCs w:val="24"/>
        </w:rPr>
      </w:pPr>
      <w:r>
        <w:rPr>
          <w:rFonts w:eastAsia="Times New Roman"/>
          <w:szCs w:val="24"/>
        </w:rPr>
        <w:t>A Vállalkozó feladata az előzmények, okiratok, dokumentumok és a Létesítmény jelenlegi állapotából kiindulva az összes tervezési, vizsgálati, kivitelezési munkák és próbák határidőben és megfelelő minőségben történő elvégzése, amelynek eredményeképpen a projekt és a szerződés céljai maradéktalanul teljesülnek.</w:t>
      </w:r>
    </w:p>
    <w:p>
      <w:pPr>
        <w:pStyle w:val="Szvegtrzs"/>
        <w:rPr>
          <w:rFonts w:eastAsia="Times New Roman"/>
          <w:szCs w:val="24"/>
        </w:rPr>
      </w:pPr>
      <w:r>
        <w:rPr>
          <w:rFonts w:eastAsia="Times New Roman"/>
          <w:szCs w:val="24"/>
        </w:rPr>
        <w:t>A Vállalkozó kötelessége minden olyan dokumentum elkészítése, engedély beszerzése és átadása a Megrendelőnek, amely a létesítmény használatbavételéhez, üzemeltetéséhez, biztonságos működtetéséhez szükséges.</w:t>
      </w:r>
    </w:p>
    <w:p>
      <w:pPr>
        <w:pStyle w:val="Szvegtrzs"/>
        <w:rPr>
          <w:rFonts w:eastAsia="Times New Roman"/>
          <w:szCs w:val="24"/>
        </w:rPr>
      </w:pPr>
      <w:r>
        <w:rPr>
          <w:rFonts w:eastAsia="Times New Roman"/>
          <w:szCs w:val="24"/>
        </w:rPr>
        <w:t>A Vállalkozó kötelezettsége a Létesítmény Megrendelőjével, illetve a műszaki ellenőrrel egyeztetni és jóváhagyását megszerezni minden, a megrendelői követelményekben nem, vagy nem kellő részletességgel specifikált anyag, szerelvény és berendezés betervezése és beépítése előtt. A Műszaki ellenőr szükség szerint az egyeztetési folyamatba bevonhatja a megvalósítandó Létesítmény Üzemeltetői szervezetét. A szerződés hatálybalépését követően a Vállalkozó köteles a Megrendelővel és a Műszaki ellenőrrel az építési-szerelési munkák ütemtervét és organizációját részletesen összehangolni, írásos megállapodás formájában előkészíteni és a munkaterület átadás-átvételi eljárás jegyzőkönyvének mellékleteként rögzíteni. Vezeték építési munkák során az üzemelő rendszerrel való összekötések kizárólag üzemeltetői szakfelügyelet mellett végezhetők.</w:t>
      </w:r>
    </w:p>
    <w:p>
      <w:pPr>
        <w:pStyle w:val="Szvegtrzs"/>
        <w:rPr>
          <w:rFonts w:eastAsia="Times New Roman"/>
          <w:szCs w:val="24"/>
        </w:rPr>
      </w:pPr>
      <w:r>
        <w:rPr>
          <w:rFonts w:eastAsia="Times New Roman"/>
          <w:szCs w:val="24"/>
        </w:rPr>
      </w:r>
    </w:p>
    <w:p>
      <w:pPr>
        <w:pStyle w:val="Szvegtrzs"/>
        <w:rPr>
          <w:rFonts w:eastAsia="Times New Roman"/>
          <w:szCs w:val="24"/>
        </w:rPr>
      </w:pPr>
      <w:r>
        <w:rPr>
          <w:rFonts w:eastAsia="Times New Roman"/>
          <w:szCs w:val="24"/>
        </w:rPr>
        <w:t xml:space="preserve">Vállalkozó az építési munka megkezdése előtt előzetes bejelentést köteles megküldeni a területileg illetékes vízügyi hatósághoz és egyéb jogszabályokban, meghatározott szervekhez. </w:t>
      </w:r>
    </w:p>
    <w:p>
      <w:pPr>
        <w:pStyle w:val="Szvegtrzs"/>
        <w:rPr>
          <w:rFonts w:eastAsia="Times New Roman"/>
          <w:szCs w:val="24"/>
        </w:rPr>
      </w:pPr>
      <w:r>
        <w:rPr>
          <w:rFonts w:eastAsia="Times New Roman"/>
          <w:szCs w:val="24"/>
        </w:rPr>
        <w:t>A Vállalkozó a munkáját az alábbi alapelvek betartásával és alapvető követelményeknek való megfelelés biztosításával kell végeznie:</w:t>
      </w:r>
    </w:p>
    <w:p>
      <w:pPr>
        <w:pStyle w:val="Szvegtrzs"/>
        <w:tabs>
          <w:tab w:val="left" w:pos="709" w:leader="none"/>
        </w:tabs>
        <w:ind w:left="709" w:hanging="283"/>
        <w:rPr>
          <w:rFonts w:eastAsia="Times New Roman"/>
          <w:szCs w:val="24"/>
        </w:rPr>
      </w:pPr>
      <w:r>
        <w:rPr/>
        <w:t>•</w:t>
      </w:r>
      <w:r>
        <w:rPr/>
        <w:tab/>
        <w:t>A tervezési és építési munkát úgy kell elvégezni, hogy az átadott mű feleljen meg a</w:t>
      </w:r>
      <w:r>
        <w:rPr>
          <w:rFonts w:eastAsia="Times New Roman"/>
          <w:szCs w:val="24"/>
        </w:rPr>
        <w:t xml:space="preserve"> vonatkozó valamennyi hatályos jogszabályi előírásnak, ezek közül is kiemelten a „víziközművek üzemeltetéséről szóló” 16/2016. (V.12.) BM rendelet és a víziközmű-szolgáltatásról szóló 2011. évi CCIX. törvény egyes rendelkezéseinek végrehajtásáról szóló 58/2013. (II. 27.) Korm. rendelet rendelkezéseinek. A vonatkozó jogszabályok műszaki előírásai a tervezés alapadataként kezelendők!</w:t>
      </w:r>
    </w:p>
    <w:p>
      <w:pPr>
        <w:pStyle w:val="Normal"/>
        <w:rPr/>
      </w:pPr>
      <w:r>
        <w:rPr/>
        <w:t xml:space="preserve">A tervezési és építési munkát úgy kell elvégezni, hogy az átadott mű egésze és egyes részei külön-külön is feleljenek meg </w:t>
      </w:r>
    </w:p>
    <w:p>
      <w:pPr>
        <w:pStyle w:val="Normal"/>
        <w:numPr>
          <w:ilvl w:val="0"/>
          <w:numId w:val="9"/>
        </w:numPr>
        <w:rPr/>
      </w:pPr>
      <w:r>
        <w:rPr/>
        <w:t xml:space="preserve">az új megközelítésű európai irányelveket bevezető hatályos magyar jogszabályokban megfogalmazott alapvető követelményeknek, </w:t>
      </w:r>
    </w:p>
    <w:p>
      <w:pPr>
        <w:pStyle w:val="Normal"/>
        <w:numPr>
          <w:ilvl w:val="0"/>
          <w:numId w:val="9"/>
        </w:numPr>
        <w:rPr/>
      </w:pPr>
      <w:r>
        <w:rPr/>
        <w:t>a vonatkozó országos és helyi építési követelményeknek,</w:t>
      </w:r>
    </w:p>
    <w:p>
      <w:pPr>
        <w:pStyle w:val="Normal"/>
        <w:numPr>
          <w:ilvl w:val="0"/>
          <w:numId w:val="9"/>
        </w:numPr>
        <w:ind w:left="714" w:hanging="357"/>
        <w:rPr/>
      </w:pPr>
      <w:r>
        <w:rPr/>
        <w:t>minden egyéb a szennyvízelvezető rendszerre vonatkozó hatályos jogszabályi előírásnak.</w:t>
      </w:r>
    </w:p>
    <w:p>
      <w:pPr>
        <w:pStyle w:val="Normal"/>
        <w:ind w:left="720" w:hanging="0"/>
        <w:rPr/>
      </w:pPr>
      <w:r>
        <w:rPr/>
      </w:r>
    </w:p>
    <w:p>
      <w:pPr>
        <w:pStyle w:val="Normal"/>
        <w:rPr/>
      </w:pPr>
      <w:r>
        <w:rPr/>
        <w:t xml:space="preserve">A tervezési és építési munkát továbbá úgy kell elvégezni, hogy az átadott mű az üzemeltetés során feleljen meg valamennyi felmerülő </w:t>
      </w:r>
    </w:p>
    <w:p>
      <w:pPr>
        <w:pStyle w:val="Normal"/>
        <w:numPr>
          <w:ilvl w:val="0"/>
          <w:numId w:val="8"/>
        </w:numPr>
        <w:rPr/>
      </w:pPr>
      <w:r>
        <w:rPr/>
        <w:t xml:space="preserve">környezetvédelmi előírásnak, jogszabályi és hatósági követelménynek, </w:t>
      </w:r>
    </w:p>
    <w:p>
      <w:pPr>
        <w:pStyle w:val="Normal"/>
        <w:numPr>
          <w:ilvl w:val="0"/>
          <w:numId w:val="8"/>
        </w:numPr>
        <w:rPr/>
      </w:pPr>
      <w:r>
        <w:rPr/>
        <w:t>munka- és tűzbiztonsági előírásnak,</w:t>
      </w:r>
    </w:p>
    <w:p>
      <w:pPr>
        <w:pStyle w:val="Normal"/>
        <w:numPr>
          <w:ilvl w:val="0"/>
          <w:numId w:val="8"/>
        </w:numPr>
        <w:rPr/>
      </w:pPr>
      <w:r>
        <w:rPr/>
        <w:t>munka- és egészség- és életvédelmi előírásnak, valamint az akadály-mentesítésre vonatkozó törvényi előírásoknak</w:t>
      </w:r>
    </w:p>
    <w:p>
      <w:pPr>
        <w:pStyle w:val="Szvegtrzs"/>
        <w:rPr>
          <w:rFonts w:eastAsia="Times New Roman"/>
          <w:szCs w:val="24"/>
        </w:rPr>
      </w:pPr>
      <w:r>
        <w:rPr>
          <w:rFonts w:eastAsia="Times New Roman"/>
          <w:szCs w:val="24"/>
        </w:rPr>
        <w:t>A Vállalkozónak az előírt munkákat oly módon kell megterveznie és kiviteleznie, hogy az megfeleljen a vonatkozó szabványokban foglaltaknak és biztosítania, hogy a beruházás keretében megvalósuló komplett létesítmény a szennyvízelvezetés funkcióját legalább 50 évig ellássa.</w:t>
      </w:r>
    </w:p>
    <w:p>
      <w:pPr>
        <w:pStyle w:val="Szvegtrzs"/>
        <w:rPr>
          <w:rFonts w:eastAsia="Times New Roman"/>
          <w:szCs w:val="24"/>
        </w:rPr>
      </w:pPr>
      <w:r>
        <w:rPr>
          <w:rFonts w:eastAsia="Times New Roman"/>
          <w:szCs w:val="24"/>
        </w:rPr>
        <w:t>A munkák során a meglévő, fel nem használt, és a jövőben funkció nélkül maradó vezetékeket, műtárgyakat és építményeket, amennyiben azok a munkák elvégzését bármilyen mértékben akadályozzák, vagy pedig a Megrendelői követelményekben szerepel, teljes mértékben (alapokat is beleértve) kell elbontani, illetve ahol a Megrendelői követelmények megengedik, ott pedig a végleges felhagyásról, lezárásról, tömedékelésről kell gondoskodni a Megrendelői követelményekben előírt technológiának megfelelően. Ez alól kivételt képeznek azok a bontások, ahol a Megrendelői követelmények tartalmazzák a bontás korlátját, mértékét.</w:t>
      </w:r>
    </w:p>
    <w:p>
      <w:pPr>
        <w:pStyle w:val="Szvegtrzs"/>
        <w:rPr>
          <w:rFonts w:eastAsia="Times New Roman"/>
          <w:szCs w:val="24"/>
        </w:rPr>
      </w:pPr>
      <w:r>
        <w:rPr>
          <w:rFonts w:eastAsia="Times New Roman"/>
          <w:szCs w:val="24"/>
        </w:rPr>
        <w:t>Vállalkozó a meglévő közüzemi ellátó rendszerek üzemelő berendezéseinek, vezetékeinek megbontását, cseréjét, átkötését, az azokhoz való csatlakozást csak akkor kezdheti meg, ha a Vállalkozó erről legalább 7 nappal előzetesen értesítette a Műszaki ellenőrt, aki jóváhagyta a jelzett beavatkozást, továbbá Vállalkozó időben tájékoztatta az adott közüzemi szolgáltatót.</w:t>
      </w:r>
    </w:p>
    <w:p>
      <w:pPr>
        <w:pStyle w:val="Szvegtrzs"/>
        <w:rPr>
          <w:rFonts w:eastAsia="Times New Roman"/>
          <w:szCs w:val="24"/>
        </w:rPr>
      </w:pPr>
      <w:r>
        <w:rPr>
          <w:rFonts w:eastAsia="Times New Roman"/>
          <w:szCs w:val="24"/>
        </w:rPr>
        <w:t xml:space="preserve">A tervezett építési beruházást úgy kell megvalósítani, hogy sem a kivitelezés során, sem pedig a későbbi – akár ideiglenes – üzemeltetés során nem veszélyeztetheti a felszíni-, felszín alatti vízkészletek minőségét. </w:t>
      </w:r>
    </w:p>
    <w:p>
      <w:pPr>
        <w:pStyle w:val="Cmsor1"/>
        <w:numPr>
          <w:ilvl w:val="0"/>
          <w:numId w:val="3"/>
        </w:numPr>
        <w:ind w:left="431" w:hanging="431"/>
        <w:rPr>
          <w:rFonts w:ascii="Times New Roman" w:hAnsi="Times New Roman"/>
        </w:rPr>
      </w:pPr>
      <w:bookmarkStart w:id="8" w:name="_Toc453756419"/>
      <w:bookmarkEnd w:id="8"/>
      <w:r>
        <w:rPr>
          <w:rFonts w:ascii="Times New Roman" w:hAnsi="Times New Roman"/>
        </w:rPr>
        <w:t>Tervezés</w:t>
      </w:r>
    </w:p>
    <w:p>
      <w:pPr>
        <w:pStyle w:val="Szvegtrzs"/>
        <w:rPr>
          <w:rFonts w:eastAsia="Times New Roman"/>
          <w:szCs w:val="24"/>
        </w:rPr>
      </w:pPr>
      <w:r>
        <w:rPr>
          <w:rFonts w:eastAsia="Times New Roman"/>
          <w:szCs w:val="24"/>
        </w:rPr>
        <w:t>A Vállalkozó feladatát képezi, hogy a kivitelezéshez és az üzemeltetéshez szükséges minden tervet, tervrajzot és dokumentációt a vízjogi létesítési tervek és engedély alapján kell elkészíteni. E tekintetben a Megrendelői követelmények korlátozásként nem kezelhetőek. A Vállalkozó teljes körű felelősséggel tartozik az általa készített dokumentumokban és tervekben foglaltak helyességéért és a vonatkozó szabványokban és egyéb előírásokban foglaltak betartásáért. Bármely a Megrendelő vagy a Megrendelő képviselője által megadott jóváhagyás nem csökkenti a Vállalkozó ez irányú felelősségét.</w:t>
      </w:r>
    </w:p>
    <w:p>
      <w:pPr>
        <w:pStyle w:val="Szvegtrzs"/>
        <w:rPr>
          <w:rFonts w:eastAsia="Times New Roman"/>
          <w:szCs w:val="24"/>
        </w:rPr>
      </w:pPr>
      <w:r>
        <w:rPr>
          <w:rFonts w:eastAsia="Times New Roman"/>
          <w:szCs w:val="24"/>
        </w:rPr>
        <w:t>A jelen követelményekben és a Megrendelő tervein feltüntetett minden méret, méretezési, magassági és egyéb adatot a Vállalkozónak méréssel, illetve számítással ellenőriznie kell, valamint a tervezéshez és a kivitelezéshez szükséges összes további adatot saját költségére kell megállapítania, ill. ellenőriznie.</w:t>
      </w:r>
    </w:p>
    <w:p>
      <w:pPr>
        <w:pStyle w:val="Szvegtrzs"/>
        <w:rPr>
          <w:rFonts w:eastAsia="Times New Roman"/>
          <w:szCs w:val="24"/>
        </w:rPr>
      </w:pPr>
      <w:r>
        <w:rPr>
          <w:rFonts w:eastAsia="Times New Roman"/>
          <w:szCs w:val="24"/>
        </w:rPr>
        <w:t>A kiviteli terveket, számításokat stb., úgy kell elkészíteni, hogy azok tartalmazzák mindazon adatokat, amelyek kellő részletezettséggel a tervezett létesítmény funkciós működését biztosítják (kitűzési adatok, műhely rajzok, stb.).</w:t>
      </w:r>
    </w:p>
    <w:p>
      <w:pPr>
        <w:pStyle w:val="Szvegtrzs"/>
        <w:rPr>
          <w:rFonts w:eastAsia="Times New Roman"/>
          <w:szCs w:val="24"/>
        </w:rPr>
      </w:pPr>
      <w:r>
        <w:rPr>
          <w:rFonts w:eastAsia="Times New Roman"/>
          <w:szCs w:val="24"/>
        </w:rPr>
        <w:t>A Vállalkozó általánosságban köteles minden olyan tervezési munka, és ezzel összefüggő feladat elvégzésére, amely a kivitelezéshez, a szerződés teljesítéséhez szükséges. Így a Vállalkozó feladata többek között és a teljesség igénye nélkül, a csatornahálózatra vonatkozó kiviteli tervek elkészítése, közmű tulajdonosok és üzemeltetők nyilatkozatainak, hatósági hozzájárulások beszerzése. A Projekt megvalósításához szükséges valamennyi terv, engedély megszerzése a Vállalkozó feladata.</w:t>
      </w:r>
    </w:p>
    <w:p>
      <w:pPr>
        <w:pStyle w:val="Szvegtrzs"/>
        <w:rPr>
          <w:rFonts w:eastAsia="Times New Roman"/>
          <w:szCs w:val="24"/>
        </w:rPr>
      </w:pPr>
      <w:r>
        <w:rPr>
          <w:rFonts w:eastAsia="Times New Roman"/>
          <w:szCs w:val="24"/>
        </w:rPr>
        <w:t>Az alábbi tervezési munkák elvégzése és tervdokumentációk elkészítése kiemelt követelmény:</w:t>
      </w:r>
    </w:p>
    <w:p>
      <w:pPr>
        <w:pStyle w:val="Normal"/>
        <w:numPr>
          <w:ilvl w:val="0"/>
          <w:numId w:val="10"/>
        </w:numPr>
        <w:rPr/>
      </w:pPr>
      <w:r>
        <w:rPr/>
        <w:t>A Megrendelőnél, az Üzemeltetőnél rendelkezésre álló adatok áttekintése;</w:t>
      </w:r>
    </w:p>
    <w:p>
      <w:pPr>
        <w:pStyle w:val="Normal"/>
        <w:numPr>
          <w:ilvl w:val="0"/>
          <w:numId w:val="10"/>
        </w:numPr>
        <w:rPr/>
      </w:pPr>
      <w:r>
        <w:rPr/>
        <w:t xml:space="preserve">Tervezéshez, építéshez szükséges vizsgálatok és kiegészítő mérések (geodéziai állapotfelvétel, talajmechanikai (geotechnikai) vizsgálatok); </w:t>
      </w:r>
    </w:p>
    <w:p>
      <w:pPr>
        <w:pStyle w:val="Normal"/>
        <w:numPr>
          <w:ilvl w:val="0"/>
          <w:numId w:val="10"/>
        </w:numPr>
        <w:rPr/>
      </w:pPr>
      <w:r>
        <w:rPr/>
        <w:t xml:space="preserve">A munkaterület állapotfelvételi dokumentációja (digitális fénykép, illetve film) különös tekintettel azokon a területeken, ahol a közcsatorna nyomvonalvezetésénél az MSZ 7487/2-80 szabványban foglaltakat nem lehet biztosítani (épülethez, kerítéshez közel halad a csatorna), valamint ahol talajvízszint süllyesztést kell végezni; </w:t>
      </w:r>
    </w:p>
    <w:p>
      <w:pPr>
        <w:pStyle w:val="Normal"/>
        <w:numPr>
          <w:ilvl w:val="0"/>
          <w:numId w:val="10"/>
        </w:numPr>
        <w:rPr/>
      </w:pPr>
      <w:r>
        <w:rPr/>
        <w:t>A tervek és megoldások egyezetése a Közművekkel és Kezelőkkel, ezek nyilatkozatának, hozzájárulásának beszerzése a munkák elvégzéséhez;</w:t>
      </w:r>
    </w:p>
    <w:p>
      <w:pPr>
        <w:pStyle w:val="Normal"/>
        <w:numPr>
          <w:ilvl w:val="0"/>
          <w:numId w:val="10"/>
        </w:numPr>
        <w:rPr/>
      </w:pPr>
      <w:r>
        <w:rPr/>
        <w:t xml:space="preserve">Kiviteli tervdokumentáció; </w:t>
      </w:r>
    </w:p>
    <w:p>
      <w:pPr>
        <w:pStyle w:val="Normal"/>
        <w:numPr>
          <w:ilvl w:val="0"/>
          <w:numId w:val="10"/>
        </w:numPr>
        <w:rPr/>
      </w:pPr>
      <w:r>
        <w:rPr/>
        <w:t>A munkavégzéshez szükséges egyéb tervek (pl. organizációs, dúcolási, víztelenítési, munkavédelmi, tűzvédelmi, egészségvédelmi, stb. tervek);</w:t>
      </w:r>
    </w:p>
    <w:p>
      <w:pPr>
        <w:pStyle w:val="Normal"/>
        <w:numPr>
          <w:ilvl w:val="0"/>
          <w:numId w:val="10"/>
        </w:numPr>
        <w:rPr/>
      </w:pPr>
      <w:r>
        <w:rPr/>
        <w:t>Megvalósulási dokumentáció;</w:t>
      </w:r>
    </w:p>
    <w:p>
      <w:pPr>
        <w:pStyle w:val="Normal"/>
        <w:numPr>
          <w:ilvl w:val="0"/>
          <w:numId w:val="10"/>
        </w:numPr>
        <w:rPr/>
      </w:pPr>
      <w:r>
        <w:rPr/>
        <w:t>Az üzembe helyezéshez, használatba vételhez szükséges engedélyezési dokumentációk elkészítése;</w:t>
      </w:r>
    </w:p>
    <w:p>
      <w:pPr>
        <w:pStyle w:val="Normal"/>
        <w:numPr>
          <w:ilvl w:val="0"/>
          <w:numId w:val="10"/>
        </w:numPr>
        <w:rPr/>
      </w:pPr>
      <w:r>
        <w:rPr/>
        <w:t>Üzemeltetési és karbantartási utasítás;</w:t>
      </w:r>
    </w:p>
    <w:p>
      <w:pPr>
        <w:pStyle w:val="Cmsor2"/>
        <w:numPr>
          <w:ilvl w:val="1"/>
          <w:numId w:val="3"/>
        </w:numPr>
        <w:rPr/>
      </w:pPr>
      <w:bookmarkStart w:id="9" w:name="_Toc453756420"/>
      <w:bookmarkStart w:id="10" w:name="_Toc331981937"/>
      <w:bookmarkEnd w:id="9"/>
      <w:bookmarkEnd w:id="10"/>
      <w:r>
        <w:rPr/>
        <w:t>Példányszámok</w:t>
      </w:r>
    </w:p>
    <w:p>
      <w:pPr>
        <w:pStyle w:val="Szvegtrzs"/>
        <w:rPr>
          <w:rFonts w:eastAsia="Times New Roman"/>
          <w:szCs w:val="24"/>
        </w:rPr>
      </w:pPr>
      <w:r>
        <w:rPr>
          <w:rFonts w:eastAsia="Times New Roman"/>
          <w:szCs w:val="24"/>
        </w:rPr>
        <w:t>A kiviteli terveket a közmű és üzemeltetői (DMRV Zrt.) egyeztetést követően kettő nyomtatott példányban kell benyújtani a Műszaki ellenőrnek.</w:t>
      </w:r>
    </w:p>
    <w:p>
      <w:pPr>
        <w:pStyle w:val="Szvegtrzs"/>
        <w:rPr>
          <w:rFonts w:eastAsia="Times New Roman"/>
          <w:szCs w:val="24"/>
        </w:rPr>
      </w:pPr>
      <w:r>
        <w:rPr>
          <w:rFonts w:eastAsia="Times New Roman"/>
          <w:szCs w:val="24"/>
        </w:rPr>
        <w:t>A Műszaki ellenőr és a Megrendelő által felülvizsgált, jóváhagyásra benyújtásra kerülő tervet és dokumentumot kettő pld-ban papíron kell benyújtani, akik a jóváhagyást azon pecsételéssel és aláírással látják el.</w:t>
      </w:r>
    </w:p>
    <w:p>
      <w:pPr>
        <w:pStyle w:val="Szvegtrzs"/>
        <w:rPr/>
      </w:pPr>
      <w:r>
        <w:rPr>
          <w:rFonts w:eastAsia="Times New Roman"/>
          <w:szCs w:val="24"/>
        </w:rPr>
        <w:t>A műszaki ellenőr által jóváhagyott tervet és dokumentumot a Vállalkozó 1 pld-ban elektronikusan (dox, xls, dwg, dxf, pdf formátumokban) és 2 pld-ban nyomtatásban szállítja. Ezen felüliek a Vállalkozó példányai.</w:t>
      </w:r>
    </w:p>
    <w:p>
      <w:pPr>
        <w:pStyle w:val="Cmsor2"/>
        <w:numPr>
          <w:ilvl w:val="1"/>
          <w:numId w:val="3"/>
        </w:numPr>
        <w:rPr/>
      </w:pPr>
      <w:bookmarkStart w:id="11" w:name="_Toc453756421"/>
      <w:bookmarkStart w:id="12" w:name="_Toc331981938"/>
      <w:bookmarkEnd w:id="11"/>
      <w:bookmarkEnd w:id="12"/>
      <w:r>
        <w:rPr/>
        <w:t>Kiviteli tervek méretaránya</w:t>
      </w:r>
    </w:p>
    <w:p>
      <w:pPr>
        <w:pStyle w:val="Normal"/>
        <w:numPr>
          <w:ilvl w:val="0"/>
          <w:numId w:val="11"/>
        </w:numPr>
        <w:rPr/>
      </w:pPr>
      <w:r>
        <w:rPr/>
        <w:t xml:space="preserve">nyomvonalas létesítmények </w:t>
      </w:r>
    </w:p>
    <w:p>
      <w:pPr>
        <w:pStyle w:val="Normal"/>
        <w:numPr>
          <w:ilvl w:val="1"/>
          <w:numId w:val="11"/>
        </w:numPr>
        <w:rPr/>
      </w:pPr>
      <w:r>
        <w:rPr/>
        <w:t>helyszínrajzok</w:t>
        <w:tab/>
        <w:tab/>
        <w:t>M = 1 : 500 vagy részletesebb</w:t>
      </w:r>
    </w:p>
    <w:p>
      <w:pPr>
        <w:pStyle w:val="Normal"/>
        <w:numPr>
          <w:ilvl w:val="1"/>
          <w:numId w:val="11"/>
        </w:numPr>
        <w:rPr/>
      </w:pPr>
      <w:r>
        <w:rPr/>
        <w:t>hossz-szelvények</w:t>
        <w:tab/>
        <w:tab/>
        <w:t>M = 1:100, 1:500 vagy részletesebb</w:t>
      </w:r>
    </w:p>
    <w:p>
      <w:pPr>
        <w:pStyle w:val="Normal"/>
        <w:numPr>
          <w:ilvl w:val="0"/>
          <w:numId w:val="11"/>
        </w:numPr>
        <w:rPr/>
      </w:pPr>
      <w:r>
        <w:rPr/>
        <w:t>m</w:t>
      </w:r>
      <w:r>
        <w:rPr>
          <w:sz w:val="22"/>
        </w:rPr>
        <w:t>ű</w:t>
      </w:r>
      <w:r>
        <w:rPr/>
        <w:t>tárgy tervek, keresztezések</w:t>
        <w:tab/>
        <w:t>M = 1 : 50</w:t>
      </w:r>
    </w:p>
    <w:p>
      <w:pPr>
        <w:pStyle w:val="Normal"/>
        <w:numPr>
          <w:ilvl w:val="0"/>
          <w:numId w:val="11"/>
        </w:numPr>
        <w:rPr/>
      </w:pPr>
      <w:r>
        <w:rPr/>
        <w:t>gépészeti tervek</w:t>
        <w:tab/>
        <w:tab/>
        <w:tab/>
        <w:t>M = 1 : 5</w:t>
        <w:tab/>
        <w:t>M = 1 : 25 v. 1: 50</w:t>
      </w:r>
    </w:p>
    <w:p>
      <w:pPr>
        <w:pStyle w:val="Normal"/>
        <w:numPr>
          <w:ilvl w:val="0"/>
          <w:numId w:val="11"/>
        </w:numPr>
        <w:rPr/>
      </w:pPr>
      <w:r>
        <w:rPr/>
        <w:t>közmű keresztezések</w:t>
        <w:tab/>
        <w:tab/>
        <w:tab/>
        <w:t>M = 1 : 20</w:t>
        <w:tab/>
        <w:t>M = 1 : 50</w:t>
      </w:r>
    </w:p>
    <w:p>
      <w:pPr>
        <w:pStyle w:val="Cmsor2"/>
        <w:numPr>
          <w:ilvl w:val="1"/>
          <w:numId w:val="3"/>
        </w:numPr>
        <w:rPr/>
      </w:pPr>
      <w:bookmarkStart w:id="13" w:name="_Toc453756422"/>
      <w:bookmarkEnd w:id="13"/>
      <w:r>
        <w:rPr/>
        <w:t>Tervezési elővizsgálatok és mérések</w:t>
      </w:r>
    </w:p>
    <w:p>
      <w:pPr>
        <w:pStyle w:val="Szvegtrzs"/>
        <w:rPr>
          <w:rFonts w:eastAsia="Times New Roman"/>
          <w:szCs w:val="24"/>
        </w:rPr>
      </w:pPr>
      <w:r>
        <w:rPr>
          <w:rFonts w:eastAsia="Times New Roman"/>
          <w:szCs w:val="24"/>
        </w:rPr>
        <w:t>A Vállalkozó feladata minden olyan mérés, vizsgálat és számítás elvégzése, amely a tervezéshez és az építéshez szükséges. Ebbe a körbe tartozik elsősorban a teljeskörű geodéziai állapotfelvétel, a tervezéshez-építéshez szükséges részletességű geotechnikai-, és talajmechanikai vizsgálat, talaj- illetve vízvizsgálatok, technológiai ellenőrző számítások, régészeti hatástanulmány, lőszermentesítési hatástanulmány, stb.</w:t>
      </w:r>
    </w:p>
    <w:p>
      <w:pPr>
        <w:pStyle w:val="Szvegtrzs"/>
        <w:rPr>
          <w:rFonts w:eastAsia="Times New Roman"/>
          <w:szCs w:val="24"/>
        </w:rPr>
      </w:pPr>
      <w:r>
        <w:rPr>
          <w:rFonts w:eastAsia="Times New Roman"/>
          <w:szCs w:val="24"/>
        </w:rPr>
        <w:t>Másodsorban ide tartoznak azok a kiegészítő geodéziai, szilárdsági és minden egyéb vizsgálat és mérés, amelyek szükségessége a tervezési munka során keletkezett, vagy a kivitelezés megkezdéséhez, folytatásához bármilyen okból szükséges.</w:t>
      </w:r>
    </w:p>
    <w:p>
      <w:pPr>
        <w:pStyle w:val="Szvegtrzs"/>
        <w:rPr>
          <w:rFonts w:eastAsia="Times New Roman"/>
          <w:szCs w:val="24"/>
        </w:rPr>
      </w:pPr>
      <w:r>
        <w:rPr>
          <w:rFonts w:eastAsia="Times New Roman"/>
          <w:szCs w:val="24"/>
        </w:rPr>
        <w:t>Hasonlóan a minőségellenőrzéshez, az olyan vizsgálatokat, amelyek a Létesítmények biztonságával, szilárdságával, állékonyságával összefüggő paramétert szolgáltatnak, vagy minősítést alapoznak meg, csak a Nemzeti Akkreditáció Testület által jóváhagyott, akkreditációval rendelkező intézmény, labor végezhet.</w:t>
      </w:r>
    </w:p>
    <w:p>
      <w:pPr>
        <w:pStyle w:val="Cmsor2"/>
        <w:numPr>
          <w:ilvl w:val="1"/>
          <w:numId w:val="3"/>
        </w:numPr>
        <w:rPr/>
      </w:pPr>
      <w:bookmarkStart w:id="14" w:name="_Toc453756423"/>
      <w:bookmarkEnd w:id="14"/>
      <w:r>
        <w:rPr/>
        <w:t>Állapotfelvételi dokumentáció</w:t>
      </w:r>
    </w:p>
    <w:p>
      <w:pPr>
        <w:pStyle w:val="Szvegtrzs"/>
        <w:rPr>
          <w:rFonts w:eastAsia="Times New Roman"/>
          <w:szCs w:val="24"/>
        </w:rPr>
      </w:pPr>
      <w:r>
        <w:rPr>
          <w:rFonts w:eastAsia="Times New Roman"/>
          <w:szCs w:val="24"/>
        </w:rPr>
        <w:t>A Vállalkozó feladata a kivitelezési munkák megkezdését megelőzően a munkaterületet és annak környezetét részletesen tartalmazó digitális fényképes dokumentáció elkészítése, rendszerezett és azonosított tartalomjegyzékkel, konszignációval 2 pld-ban DVD-n.</w:t>
      </w:r>
    </w:p>
    <w:p>
      <w:pPr>
        <w:pStyle w:val="Cmsor2"/>
        <w:numPr>
          <w:ilvl w:val="1"/>
          <w:numId w:val="3"/>
        </w:numPr>
        <w:rPr/>
      </w:pPr>
      <w:bookmarkStart w:id="15" w:name="_Toc453756424"/>
      <w:bookmarkEnd w:id="15"/>
      <w:r>
        <w:rPr/>
        <w:t>Kiviteli tervek</w:t>
      </w:r>
    </w:p>
    <w:p>
      <w:pPr>
        <w:pStyle w:val="Szvegtrzs"/>
        <w:rPr/>
      </w:pPr>
      <w:r>
        <w:rPr/>
        <w:t xml:space="preserve">A Vállalkozónak a kivitelezést lehetővé tevő, minden gyártáshoz és kivitelezéshez szükséges információt és részletet tartalmazó Kiviteli tervdokumentációt kell készítenie a tervezett vezetékekről, létesítményekről, az építési munkákról az Étv. 31.§ (2) bekezdése, és az építőipari kivitelezési tevékenységről szóló 191/2009. (IX. 15.) Kormányrendelet (továbbiakban: a jogszabály) előírásainak figyelembevételével. </w:t>
      </w:r>
    </w:p>
    <w:p>
      <w:pPr>
        <w:pStyle w:val="Szvegtrzs"/>
        <w:rPr/>
      </w:pPr>
      <w:r>
        <w:rPr/>
        <w:t>A kiviteli tervezés csak az ajánlatban egyenértékűség igazolásával megadott, illetve jóváhagyott listával elfogadott, vagy az ajánlatkérési dokumentációban nevesített anyagok, és berendezések felhasználásával végezhető.</w:t>
      </w:r>
    </w:p>
    <w:p>
      <w:pPr>
        <w:pStyle w:val="Szvegtrzs"/>
        <w:rPr/>
      </w:pPr>
      <w:r>
        <w:rPr/>
        <w:t>A tervlapokon nem szereplő, a kivitelezésre vonatkozó utasításokat, a munka- és tűzvédelmi előírásokat a tervekhez tartozó iratanyagokban, a műszaki leírásokban, konszignációkban kell ismertetni, a működtetéssel kapcsolatos tudnivalókkal együtt.</w:t>
      </w:r>
    </w:p>
    <w:p>
      <w:pPr>
        <w:pStyle w:val="Szvegtrzs"/>
        <w:rPr/>
      </w:pPr>
      <w:r>
        <w:rPr/>
        <w:t>A kiviteli terv részét képezik és részletező munkarészekben dolgozandók ki:</w:t>
      </w:r>
    </w:p>
    <w:p>
      <w:pPr>
        <w:pStyle w:val="Normal"/>
        <w:numPr>
          <w:ilvl w:val="0"/>
          <w:numId w:val="12"/>
        </w:numPr>
        <w:rPr/>
      </w:pPr>
      <w:r>
        <w:rPr/>
        <w:t xml:space="preserve">forgalomtechnikai terv, </w:t>
      </w:r>
    </w:p>
    <w:p>
      <w:pPr>
        <w:pStyle w:val="Normal"/>
        <w:numPr>
          <w:ilvl w:val="0"/>
          <w:numId w:val="12"/>
        </w:numPr>
        <w:rPr/>
      </w:pPr>
      <w:r>
        <w:rPr/>
        <w:t xml:space="preserve">biztonsági és egészségvédelmi terv (4/2002. (II. 20.) SzCsM-EüM együttes rendelet), </w:t>
      </w:r>
    </w:p>
    <w:p>
      <w:pPr>
        <w:pStyle w:val="Normal"/>
        <w:numPr>
          <w:ilvl w:val="0"/>
          <w:numId w:val="12"/>
        </w:numPr>
        <w:rPr/>
      </w:pPr>
      <w:r>
        <w:rPr/>
        <w:t>építés-organizációs terv,</w:t>
      </w:r>
    </w:p>
    <w:p>
      <w:pPr>
        <w:pStyle w:val="Normal"/>
        <w:numPr>
          <w:ilvl w:val="0"/>
          <w:numId w:val="12"/>
        </w:numPr>
        <w:rPr/>
      </w:pPr>
      <w:r>
        <w:rPr/>
        <w:t>a kivitelezés során felmerülő közműkiváltásokról elkészítendő tervek,</w:t>
      </w:r>
    </w:p>
    <w:p>
      <w:pPr>
        <w:pStyle w:val="Normal"/>
        <w:numPr>
          <w:ilvl w:val="0"/>
          <w:numId w:val="12"/>
        </w:numPr>
        <w:rPr/>
      </w:pPr>
      <w:r>
        <w:rPr/>
        <w:t>fakivágási terv (közterületi fa kivágásához engedély szükséges),</w:t>
      </w:r>
    </w:p>
    <w:p>
      <w:pPr>
        <w:pStyle w:val="Normal"/>
        <w:numPr>
          <w:ilvl w:val="0"/>
          <w:numId w:val="12"/>
        </w:numPr>
        <w:rPr/>
      </w:pPr>
      <w:r>
        <w:rPr/>
        <w:t>dúcolási terv,</w:t>
      </w:r>
    </w:p>
    <w:p>
      <w:pPr>
        <w:pStyle w:val="Normal"/>
        <w:numPr>
          <w:ilvl w:val="0"/>
          <w:numId w:val="12"/>
        </w:numPr>
        <w:rPr/>
      </w:pPr>
      <w:r>
        <w:rPr/>
        <w:t>víztelenítési terv,</w:t>
      </w:r>
    </w:p>
    <w:p>
      <w:pPr>
        <w:pStyle w:val="Normal"/>
        <w:numPr>
          <w:ilvl w:val="0"/>
          <w:numId w:val="12"/>
        </w:numPr>
        <w:rPr/>
      </w:pPr>
      <w:r>
        <w:rPr/>
        <w:t>házi bekötések helyének egyeztetési jegyzőkönyvei az ingatlanok tulajdonosaival,</w:t>
      </w:r>
    </w:p>
    <w:p>
      <w:pPr>
        <w:pStyle w:val="Normal"/>
        <w:numPr>
          <w:ilvl w:val="0"/>
          <w:numId w:val="12"/>
        </w:numPr>
        <w:ind w:left="1134" w:hanging="774"/>
        <w:rPr/>
      </w:pPr>
      <w:r>
        <w:rPr/>
        <w:t>gravitációsan csatlakozó épületek bekötési tervei, házi beemelők telepítési tervrajza, átvételi jegyzőkönyve,</w:t>
      </w:r>
    </w:p>
    <w:p>
      <w:pPr>
        <w:pStyle w:val="Normal"/>
        <w:numPr>
          <w:ilvl w:val="0"/>
          <w:numId w:val="12"/>
        </w:numPr>
        <w:rPr/>
      </w:pPr>
      <w:r>
        <w:rPr/>
        <w:t>nyílt árkos közműbemérés geodéziai bemérési rajzok,</w:t>
      </w:r>
    </w:p>
    <w:p>
      <w:pPr>
        <w:pStyle w:val="Normal"/>
        <w:numPr>
          <w:ilvl w:val="0"/>
          <w:numId w:val="12"/>
        </w:numPr>
        <w:rPr/>
      </w:pPr>
      <w:r>
        <w:rPr/>
        <w:t>megvalósulási terv.</w:t>
      </w:r>
    </w:p>
    <w:p>
      <w:pPr>
        <w:pStyle w:val="Szvegtrzs"/>
        <w:rPr/>
      </w:pPr>
      <w:r>
        <w:rPr/>
        <w:t>A kiviteli terv szakaszosan szolgáltatható, az alábbiak figyelembe vételével:</w:t>
      </w:r>
    </w:p>
    <w:p>
      <w:pPr>
        <w:pStyle w:val="Szvegtrzs"/>
        <w:spacing w:before="0" w:after="0"/>
        <w:rPr/>
      </w:pPr>
      <w:r>
        <w:rPr/>
        <w:t>A kivitelezés általános feltételeit meghatározó kiviteli tervrészek, úgymint forgalomtechnikai terv, biztonsági és egészségvédelmi terv, építés-organizációs terv a kivitelezési munkák megkezdése előtt készítendő el.</w:t>
      </w:r>
    </w:p>
    <w:p>
      <w:pPr>
        <w:pStyle w:val="Szvegtrzs"/>
        <w:spacing w:before="0" w:after="0"/>
        <w:rPr/>
      </w:pPr>
      <w:r>
        <w:rPr/>
        <w:t>A kivitelezés konkrét feltételeit meghatározó kiviteli tervrészek a tervezett létesítményt érintő kivitelezési munka (max. utca szintű szakaszolás lehet) megkezdése előtt készítendő el.</w:t>
      </w:r>
    </w:p>
    <w:p>
      <w:pPr>
        <w:pStyle w:val="Szvegtrzs"/>
        <w:spacing w:before="0" w:after="0"/>
        <w:rPr/>
      </w:pPr>
      <w:r>
        <w:rPr/>
        <w:t>Vállalkozó valamennyi terv tartalmát illetően, illetve az egyes részek közti kapcsolatok megfelelősége érdekében a tervezési munka megkezdése előtt és a tervezési munka alatt folyamatosan egyeztetni köteles a Műszaki ellenőrrel.</w:t>
      </w:r>
    </w:p>
    <w:p>
      <w:pPr>
        <w:pStyle w:val="Szvegtrzs"/>
        <w:spacing w:before="0" w:after="0"/>
        <w:rPr/>
      </w:pPr>
      <w:r>
        <w:rPr/>
        <w:t xml:space="preserve">A végeleges Organizációs és a forgalomtechnikai tervet a közút kezelőjével és teljes utca lezárása esetén a katasztrófavédelem, mentők, rendőrség szerveivel és a közszolgáltatókkal egyeztetni kell. </w:t>
      </w:r>
    </w:p>
    <w:p>
      <w:pPr>
        <w:pStyle w:val="Szvegtrzs"/>
        <w:spacing w:before="0" w:after="0"/>
        <w:rPr/>
      </w:pPr>
      <w:r>
        <w:rPr/>
        <w:t>A kivitelezési munka a 191/2009. (IX. 15.) Kormányrendelet alapján csak a Műszaki ellenőr által jóváhagyott kiviteli terv alapján végezhető.</w:t>
      </w:r>
    </w:p>
    <w:p>
      <w:pPr>
        <w:pStyle w:val="Cmsor2"/>
        <w:numPr>
          <w:ilvl w:val="1"/>
          <w:numId w:val="3"/>
        </w:numPr>
        <w:rPr/>
      </w:pPr>
      <w:bookmarkStart w:id="16" w:name="_Toc453756425"/>
      <w:bookmarkEnd w:id="16"/>
      <w:r>
        <w:rPr/>
        <w:t>Megvalósulási tervek</w:t>
      </w:r>
    </w:p>
    <w:p>
      <w:pPr>
        <w:pStyle w:val="Szvegtrzs"/>
        <w:rPr/>
      </w:pPr>
      <w:r>
        <w:rPr/>
        <w:t>A megvalósulási dokumentációt a Vállalkozónak kell elkészíteni és kettő példányban a megrendelőnek, 11 példányban az üzemeltető DMRV Zrt-nek átadni.</w:t>
      </w:r>
    </w:p>
    <w:p>
      <w:pPr>
        <w:pStyle w:val="Szvegtrzs"/>
        <w:rPr/>
      </w:pPr>
      <w:r>
        <w:rPr/>
        <w:t xml:space="preserve">A megvalósulási dokumentáció része a megvalósulási terv és egyéb dokumentációk. A Vállalkozó a megvalósulási terveket a Műszaki ellenőrnek adja át. A megvalósulási dokumentáció az üzemeltetési engedély megkérésének alapfeltétele. A geodéziai felmérést digitális formában is át kell adni </w:t>
      </w:r>
      <w:r>
        <w:rPr>
          <w:i/>
        </w:rPr>
        <w:t xml:space="preserve">az egységes elektronikus közműnyilvántartásról </w:t>
      </w:r>
      <w:r>
        <w:rPr/>
        <w:t>szóló 324/2013. (VIII. 29.) Korm. rendeletben előírtaknak megfelelően. A digitális formátumú geodéziai felmérés rétegkiosztását az Üzemeltető DMRV Zrt-vel és a Megrendelővel egyeztetni kell.</w:t>
      </w:r>
    </w:p>
    <w:p>
      <w:pPr>
        <w:pStyle w:val="Szvegtrzs"/>
        <w:rPr/>
      </w:pPr>
      <w:r>
        <w:rPr/>
        <w:t>A megvalósulási terv a kiviteli tervdokumentációra épül. A kiviteli tervdokumentáció minden részét, szakági tervlapját tartalmazza. A megvalósult állapotról készítendő részletes tervdokumentációt abban a csoportosításban kell elkészíteni, ahogyan a kiviteli tervek készültek. A „D”-terv alapja természetesen a kiviteli terv, azon adott esetben mindkét nyomvonalnak látszani kell, hogy az eltérések megítélhetők legyenek.</w:t>
      </w:r>
    </w:p>
    <w:p>
      <w:pPr>
        <w:pStyle w:val="Szvegtrzs"/>
        <w:rPr/>
      </w:pPr>
      <w:r>
        <w:rPr/>
        <w:t xml:space="preserve">A megvalósulási terv a kivitelezés közben feltárt, geodéziai és más elfogadott méréstechnikai eszközökkel rögzített méretek, és műszaki, minőségi jellemzők valós, a kivitelezés során megvalósult értékeit tünteti fel és rögzíti. </w:t>
      </w:r>
    </w:p>
    <w:p>
      <w:pPr>
        <w:pStyle w:val="Szvegtrzs"/>
        <w:rPr/>
      </w:pPr>
      <w:r>
        <w:rPr/>
        <w:t>A megvalósulási terveknek tartalmazniuk kell az összes építés közbeni, vagy a Vállalkozó, Alvállalkozó és/vagy a Gyártó által elvégzett próbák utáni változtatást, és az üzembe helyezés, működtetés, vizsgálatok és építés közben eszközölt változtatást.</w:t>
      </w:r>
    </w:p>
    <w:p>
      <w:pPr>
        <w:pStyle w:val="Szvegtrzs"/>
        <w:rPr/>
      </w:pPr>
      <w:r>
        <w:rPr/>
        <w:t>A megvalósulási terv részét képezi többek között a feltárt felszín alatti vezetékek, közművek, egyéb bennmaradó objektumok tényleges helyének és helyzetének rögzítése egy össz-közmű helyszínrajz, valamint (szükség esetén) a közműkapcsolatok fejlesztéséhez a szolgáltatói szerződések megkötéséhez szükséges közmű-helyszínrajz készítése. A megvalósulási tervben a változásokat mind a műszaki leírásban, mind a tervrajzokon fel kell tüntetni.</w:t>
      </w:r>
    </w:p>
    <w:p>
      <w:pPr>
        <w:pStyle w:val="Szvegtrzs"/>
        <w:rPr/>
      </w:pPr>
      <w:r>
        <w:rPr/>
        <w:t>A szennyvíztovábbítás egyes elemeit (pld. szivattyúk, elzáró-szerelvények, motorok, indítók, kábelek, stb.) külön meg kell jelölni a részletes átnézetes helyszínrajzon, a műszerezett folyamatábrán és a kapcsolódási pontokat világosan fel kell tüntetni.</w:t>
      </w:r>
    </w:p>
    <w:p>
      <w:pPr>
        <w:pStyle w:val="Szvegtrzs"/>
        <w:rPr/>
      </w:pPr>
      <w:r>
        <w:rPr/>
        <w:t>A megvalósulási dokumentációhoz a Vállalkozónak egy digitális fényképes dokumentációt kell csatolnia. Ennek tartalmaznia kell a Létesítmény állapotának rögzítését a kivitelezési munkák fontosabb szakaszaiban, az eltakarásra kerülő szerkezeteket és minden a munkák során felmerülő rendkívüli eseményt olyan képfelbontással és képmezővel, amely egyértelműen láttatja a kérdéses objektum kívánt jellemzőjét. Ahol a méretek a természetes háttér elemek méretéből nem következtethetők, a képmezőbe méretarányos tárgyat kell helyezni.</w:t>
      </w:r>
    </w:p>
    <w:p>
      <w:pPr>
        <w:pStyle w:val="Cmsor2"/>
        <w:numPr>
          <w:ilvl w:val="1"/>
          <w:numId w:val="3"/>
        </w:numPr>
        <w:rPr/>
      </w:pPr>
      <w:bookmarkStart w:id="17" w:name="_Toc453756426"/>
      <w:bookmarkEnd w:id="17"/>
      <w:r>
        <w:rPr/>
        <w:t>Egyéb tervek</w:t>
      </w:r>
    </w:p>
    <w:p>
      <w:pPr>
        <w:pStyle w:val="Szvegtrzs"/>
        <w:rPr/>
      </w:pPr>
      <w:r>
        <w:rPr/>
        <w:t xml:space="preserve">A Vállalkozó tartozik azokat a rajzokat, számításokat elkészíteni vagy elkészíttetni, a létesítmények szakszerű és előírt minőségi megvalósításához szükségesek. Egyes érintett vagy keresztező építmények átépítésének vagy akár ideiglenes módosításának terveit, az illetékes kezelő vagy üzemeltető által előírt tartalommal kell elkészíteni. El kell készíteni a munkaterületek lehatárolási terveit. </w:t>
      </w:r>
    </w:p>
    <w:p>
      <w:pPr>
        <w:pStyle w:val="Szvegtrzs"/>
        <w:rPr/>
      </w:pPr>
      <w:r>
        <w:rPr/>
        <w:t>Ezek mellett a következő dokumentumokat és terveket kell összeállítani:</w:t>
      </w:r>
    </w:p>
    <w:p>
      <w:pPr>
        <w:pStyle w:val="NoSpacing"/>
        <w:rPr/>
      </w:pPr>
      <w:r>
        <w:rPr/>
        <w:t>a)</w:t>
        <w:tab/>
        <w:t>kivitelezési ütemterv, organizáció</w:t>
      </w:r>
    </w:p>
    <w:p>
      <w:pPr>
        <w:pStyle w:val="NoSpacing"/>
        <w:rPr/>
      </w:pPr>
      <w:r>
        <w:rPr/>
        <w:t>b)</w:t>
        <w:tab/>
        <w:t>pénzügyi ütemterv</w:t>
      </w:r>
    </w:p>
    <w:p>
      <w:pPr>
        <w:pStyle w:val="NoSpacing"/>
        <w:rPr/>
      </w:pPr>
      <w:r>
        <w:rPr/>
        <w:t>c)</w:t>
        <w:tab/>
        <w:t>egyéb dokumentációk</w:t>
      </w:r>
    </w:p>
    <w:p>
      <w:pPr>
        <w:pStyle w:val="NoSpacing"/>
        <w:ind w:left="708" w:hanging="0"/>
        <w:rPr/>
      </w:pPr>
      <w:r>
        <w:rPr/>
        <w:t>-</w:t>
        <w:tab/>
        <w:t>egészségvédelmi és munkabiztonsági terv</w:t>
      </w:r>
    </w:p>
    <w:p>
      <w:pPr>
        <w:pStyle w:val="NoSpacing"/>
        <w:ind w:left="708" w:hanging="0"/>
        <w:rPr/>
      </w:pPr>
      <w:r>
        <w:rPr/>
        <w:t>-</w:t>
        <w:tab/>
        <w:t>munkahelyi kockázatértékelési dokumentáció</w:t>
      </w:r>
    </w:p>
    <w:p>
      <w:pPr>
        <w:pStyle w:val="NoSpacing"/>
        <w:rPr/>
      </w:pPr>
      <w:r>
        <w:rPr/>
        <w:t xml:space="preserve">d) </w:t>
        <w:tab/>
        <w:t>karbantartási és kezelési utasítás.</w:t>
      </w:r>
    </w:p>
    <w:p>
      <w:pPr>
        <w:pStyle w:val="Cmsor2"/>
        <w:numPr>
          <w:ilvl w:val="1"/>
          <w:numId w:val="3"/>
        </w:numPr>
        <w:rPr/>
      </w:pPr>
      <w:bookmarkStart w:id="18" w:name="_Toc453756427"/>
      <w:bookmarkEnd w:id="18"/>
      <w:r>
        <w:rPr/>
        <w:t>Az üzemeltetéshez szükséges engedélyezési dokumentációk elkészítése</w:t>
      </w:r>
    </w:p>
    <w:p>
      <w:pPr>
        <w:pStyle w:val="Szvegtrzs"/>
        <w:rPr/>
      </w:pPr>
      <w:r>
        <w:rPr/>
        <w:t>A Vállalkozónak az átadás-átvételi eljárás készrejelentését megelőzően el kell készítenie a vízjogi üzemeltetési engedélyeinek megszerzéséhez szükséges terveket és dokumentációt. Az üzemeltetési engedélyt az üzemeltető kéri meg, de a létesítményhez kapcsolódó megvalósulási dokumentációt a Vállalkozónak kell biztosítania.</w:t>
      </w:r>
    </w:p>
    <w:p>
      <w:pPr>
        <w:pStyle w:val="Szvegtrzs"/>
        <w:rPr/>
      </w:pPr>
      <w:r>
        <w:rPr/>
        <w:t>A dokumentáció összeállításánál a vízjogi létesítési engedély előírásait és az üzemeltető közmű nyilatkozatát kell alapul venni.</w:t>
      </w:r>
    </w:p>
    <w:p>
      <w:pPr>
        <w:pStyle w:val="Szvegtrzs"/>
        <w:rPr/>
      </w:pPr>
      <w:r>
        <w:rPr/>
        <w:t xml:space="preserve">A megvalósulási dokumentációnak részét kell, hogy képezze az elkészült létesítmények vagyonleltára aminek meg kell felelnie </w:t>
      </w:r>
      <w:r>
        <w:rPr>
          <w:i/>
        </w:rPr>
        <w:t>a víziközművek vagyonértékelésének szabályairól és a víziközmű-szolgáltatók által közérdekből közzéteendő adatokról</w:t>
      </w:r>
      <w:r>
        <w:rPr/>
        <w:t xml:space="preserve"> szóló 24/2013. (V. 29.) NFM rendeletben előírtaknak és illeszkednie kell a meglévő leltárhoz.</w:t>
      </w:r>
      <w:r>
        <w:rPr>
          <w:color w:val="FF0000"/>
        </w:rPr>
        <w:t xml:space="preserve"> </w:t>
      </w:r>
    </w:p>
    <w:p>
      <w:pPr>
        <w:pStyle w:val="Szvegtrzs"/>
        <w:rPr/>
      </w:pPr>
      <w:r>
        <w:rPr/>
        <w:t>A Vállalkozó köteles az üzemeltető által indított, üzemeltetési engedélyezési eljárásban az eljáró Hatóság által kért hiánypótlásokat 8 napon belül megtenni.</w:t>
      </w:r>
    </w:p>
    <w:p>
      <w:pPr>
        <w:pStyle w:val="Cmsor2"/>
        <w:numPr>
          <w:ilvl w:val="1"/>
          <w:numId w:val="3"/>
        </w:numPr>
        <w:rPr/>
      </w:pPr>
      <w:bookmarkStart w:id="19" w:name="_Toc453756428"/>
      <w:bookmarkEnd w:id="19"/>
      <w:r>
        <w:rPr/>
        <w:t>Tervezési jogosultság, tervezői személyzet</w:t>
      </w:r>
    </w:p>
    <w:p>
      <w:pPr>
        <w:pStyle w:val="Szvegtrzs"/>
        <w:rPr/>
      </w:pPr>
      <w:r>
        <w:rPr/>
        <w:t xml:space="preserve">A Magyarországon folytatandó önálló építészeti-műszaki tervezési tevékenységre vonatkozó szabályozást </w:t>
      </w:r>
      <w:r>
        <w:rPr>
          <w:bCs/>
          <w:szCs w:val="24"/>
        </w:rPr>
        <w:t>az építésügyi és az építésüggyel összefüggő szakmagyakorlási tevékenységekről</w:t>
      </w:r>
      <w:r>
        <w:rPr>
          <w:bCs/>
        </w:rPr>
        <w:t xml:space="preserve"> szóló </w:t>
      </w:r>
      <w:r>
        <w:rPr>
          <w:bCs/>
          <w:szCs w:val="24"/>
        </w:rPr>
        <w:t xml:space="preserve">266/2013. (VII. 11.) Korm. </w:t>
      </w:r>
      <w:r>
        <w:rPr/>
        <w:t>rendelet tartalmazza. E szerint ilyen tevékenység csak a rendelet szerint meghatározott szakmai névjegyzékbe vétellel elnyert tervezési jogosultsággal folytatható.</w:t>
      </w:r>
    </w:p>
    <w:p>
      <w:pPr>
        <w:pStyle w:val="Szvegtrzs"/>
        <w:rPr/>
      </w:pPr>
      <w:r>
        <w:rPr/>
        <w:t>Vállalkozónak rendelkeznie kell, a Felhívásban megkövetelt kulcsszemélyeken túlmenően is, a Létesítmény tervezéséhez szükséges létszámú, szakirányú és megfelelő kiterjesztésű (kiemelten gyakorlott) jogosultsággal bíró tervezői személyzettel.</w:t>
      </w:r>
    </w:p>
    <w:p>
      <w:pPr>
        <w:pStyle w:val="Cmsor2"/>
        <w:numPr>
          <w:ilvl w:val="1"/>
          <w:numId w:val="3"/>
        </w:numPr>
        <w:rPr/>
      </w:pPr>
      <w:bookmarkStart w:id="20" w:name="_Toc453756429"/>
      <w:bookmarkEnd w:id="20"/>
      <w:r>
        <w:rPr/>
        <w:t>Általános előírások továbbtervezéshez</w:t>
      </w:r>
    </w:p>
    <w:p>
      <w:pPr>
        <w:pStyle w:val="Normal"/>
        <w:rPr/>
      </w:pPr>
      <w:r>
        <w:rPr/>
        <w:t xml:space="preserve">A csatornák minimális lejtését és bukását áttervezés estén az üzemeltető DMRV Zrt-vel egyeztetett módon kell elvégezni. </w:t>
      </w:r>
    </w:p>
    <w:p>
      <w:pPr>
        <w:pStyle w:val="Normal"/>
        <w:rPr/>
      </w:pPr>
      <w:r>
        <w:rPr/>
        <w:t>A tisztító aknába műanyag bevonattal ellátott tömör köracél aknahágcsókat szükséges elhelyezni.</w:t>
      </w:r>
    </w:p>
    <w:p>
      <w:pPr>
        <w:pStyle w:val="Normal"/>
        <w:rPr/>
      </w:pPr>
      <w:r>
        <w:rPr/>
        <w:t xml:space="preserve">Előírt tömörségek </w:t>
      </w:r>
    </w:p>
    <w:p>
      <w:pPr>
        <w:pStyle w:val="Normal"/>
        <w:numPr>
          <w:ilvl w:val="0"/>
          <w:numId w:val="13"/>
        </w:numPr>
        <w:rPr/>
      </w:pPr>
      <w:r>
        <w:rPr/>
        <w:t xml:space="preserve">csőzónában:  ( a csövek alatt, oldalt és a csőtető felett 50 cm-ig )  85 % </w:t>
      </w:r>
    </w:p>
    <w:p>
      <w:pPr>
        <w:pStyle w:val="Normal"/>
        <w:numPr>
          <w:ilvl w:val="0"/>
          <w:numId w:val="13"/>
        </w:numPr>
        <w:rPr/>
      </w:pPr>
      <w:r>
        <w:rPr/>
        <w:t xml:space="preserve">csőzóna felett  zöldterületben  90 %  </w:t>
      </w:r>
    </w:p>
    <w:p>
      <w:pPr>
        <w:pStyle w:val="Normal"/>
        <w:numPr>
          <w:ilvl w:val="0"/>
          <w:numId w:val="13"/>
        </w:numPr>
        <w:rPr/>
      </w:pPr>
      <w:r>
        <w:rPr/>
        <w:t xml:space="preserve">útban ( padka vagy burkolat ) 95% </w:t>
      </w:r>
    </w:p>
    <w:p>
      <w:pPr>
        <w:pStyle w:val="Normal"/>
        <w:rPr/>
      </w:pPr>
      <w:r>
        <w:rPr/>
        <w:t xml:space="preserve">Szigorúan előírandók továbbá a cső- és idomgyártó cégek alkalmazástechnikai előírásai. </w:t>
      </w:r>
    </w:p>
    <w:p>
      <w:pPr>
        <w:pStyle w:val="Normal"/>
        <w:rPr/>
      </w:pPr>
      <w:r>
        <w:rPr/>
        <w:t>Az út alatti keresztezések védőcsöveiben a csatornát műanyag távtartó füzérekkel kell lötyögés-mentesen elhelyezni, a két végét 20-20 cm hosszban PUR habbal kell lezárni.</w:t>
      </w:r>
    </w:p>
    <w:p>
      <w:pPr>
        <w:pStyle w:val="Normal"/>
        <w:rPr/>
      </w:pPr>
      <w:r>
        <w:rPr/>
        <w:t xml:space="preserve">Az útburkolat alá tervezett csatornák esetében a kezelői hozzájárulás megkérése előtt egyeztetni kell a tervezendő bontási, deponálási, forgalomtechnikai és helyreállítási munkálatok miatt. </w:t>
      </w:r>
    </w:p>
    <w:p>
      <w:pPr>
        <w:pStyle w:val="Normal"/>
        <w:rPr/>
      </w:pPr>
      <w:r>
        <w:rPr/>
        <w:t>A talajmechanikai adatok hiányában szükséges a mintavételezést megtervezni, s annak ismeretében a csatorna magassági vonalvezetését, valamint a kiviteli tervek víztelenítési, dúcolási terveit elkészíteni.</w:t>
      </w:r>
    </w:p>
    <w:p>
      <w:pPr>
        <w:pStyle w:val="Normal"/>
        <w:rPr/>
      </w:pPr>
      <w:r>
        <w:rPr/>
        <w:t xml:space="preserve">A vezeték építési munkái előtt a szükséges engedélyeket, nyilatkozatokat és kezelői hozzájárulásokat be kell szerezni, a szakhatósági és üzemeltetői előzetes egyeztetéseknek megfelelően. </w:t>
      </w:r>
    </w:p>
    <w:p>
      <w:pPr>
        <w:pStyle w:val="Normal"/>
        <w:rPr/>
      </w:pPr>
      <w:r>
        <w:rPr/>
        <w:t>A kiviteli tervek készítése során a vízjogi engedélyben és annak módosításában foglaltakat figyelembe kell venni.</w:t>
      </w:r>
    </w:p>
    <w:p>
      <w:pPr>
        <w:pStyle w:val="Normal"/>
        <w:rPr/>
      </w:pPr>
      <w:r>
        <w:rPr/>
      </w:r>
    </w:p>
    <w:p>
      <w:pPr>
        <w:pStyle w:val="Normal"/>
        <w:rPr/>
      </w:pPr>
      <w:r>
        <w:rPr/>
      </w:r>
    </w:p>
    <w:p>
      <w:pPr>
        <w:pStyle w:val="Cmsor1"/>
        <w:numPr>
          <w:ilvl w:val="0"/>
          <w:numId w:val="3"/>
        </w:numPr>
        <w:ind w:left="431" w:hanging="431"/>
        <w:rPr>
          <w:rFonts w:ascii="Times New Roman" w:hAnsi="Times New Roman"/>
        </w:rPr>
      </w:pPr>
      <w:bookmarkStart w:id="21" w:name="_Toc453756430"/>
      <w:bookmarkEnd w:id="21"/>
      <w:r>
        <w:rPr>
          <w:rFonts w:ascii="Times New Roman" w:hAnsi="Times New Roman"/>
        </w:rPr>
        <w:t>Szabványok, előírások</w:t>
      </w:r>
    </w:p>
    <w:p>
      <w:pPr>
        <w:pStyle w:val="Normal"/>
        <w:rPr/>
      </w:pPr>
      <w:r>
        <w:rPr/>
        <w:t xml:space="preserve">Az alkalmazandó szabványok mindazok, amelyek az ajánlati felhívás közzétételének napján érvényben voltak. </w:t>
      </w:r>
    </w:p>
    <w:p>
      <w:pPr>
        <w:pStyle w:val="Normal"/>
        <w:rPr/>
      </w:pPr>
      <w:r>
        <w:rPr/>
        <w:t xml:space="preserve">Mindazon anyagok és munkák esetében, melyekre nincs alkalmazható európai vagy magyar szabvány vagy egyéb előírás a Vállalkozó Ajánlatában és azzal összhangban a nyertes Vállalkozó által készített Kiviteli tervekben is köteles bizonyítani, hogy a kérdéses anyag, szerkezet, eszköz vagy technológia megfelel az előírásoknak. </w:t>
      </w:r>
    </w:p>
    <w:p>
      <w:pPr>
        <w:pStyle w:val="Normal"/>
        <w:rPr/>
      </w:pPr>
      <w:r>
        <w:rPr/>
        <w:t>Felhívjuk a figyelmet, hogy a tervezés és kivitelezés során a Vállalkozó különös figyelmet kell, hogy fordítson a 24/2007 (VII.3.) KvVM rendelet vonatkozó részeinek betartásra.</w:t>
      </w:r>
    </w:p>
    <w:p>
      <w:pPr>
        <w:pStyle w:val="Cmsor1"/>
        <w:numPr>
          <w:ilvl w:val="0"/>
          <w:numId w:val="3"/>
        </w:numPr>
        <w:ind w:left="431" w:hanging="431"/>
        <w:rPr>
          <w:rFonts w:ascii="Times New Roman" w:hAnsi="Times New Roman"/>
        </w:rPr>
      </w:pPr>
      <w:bookmarkStart w:id="22" w:name="_Toc453756431"/>
      <w:bookmarkEnd w:id="22"/>
      <w:r>
        <w:rPr>
          <w:rFonts w:ascii="Times New Roman" w:hAnsi="Times New Roman"/>
        </w:rPr>
        <w:t>A szerződés teljesítésével kapcsolatos általános követelmények</w:t>
      </w:r>
    </w:p>
    <w:p>
      <w:pPr>
        <w:pStyle w:val="Cmsor2"/>
        <w:numPr>
          <w:ilvl w:val="1"/>
          <w:numId w:val="3"/>
        </w:numPr>
        <w:rPr/>
      </w:pPr>
      <w:bookmarkStart w:id="23" w:name="_Toc272310970"/>
      <w:bookmarkStart w:id="24" w:name="_Toc453756432"/>
      <w:bookmarkStart w:id="25" w:name="_Toc331981959"/>
      <w:r>
        <w:rPr/>
        <w:t>Minőségbiztosítás</w:t>
      </w:r>
      <w:bookmarkEnd w:id="23"/>
      <w:bookmarkEnd w:id="24"/>
      <w:bookmarkEnd w:id="25"/>
      <w:r>
        <w:rPr/>
        <w:t xml:space="preserve"> és Minőségellenőrzés</w:t>
      </w:r>
    </w:p>
    <w:p>
      <w:pPr>
        <w:pStyle w:val="Normal"/>
        <w:rPr/>
      </w:pPr>
      <w:r>
        <w:rPr/>
        <w:t>A kivitelezés során egyfelől a felkészült, megfelelő személyzettel, szakmai ismeretekkel, tapasztalattal, eszközökkel és berendezésekkel rendelkező kivitelező munkája, másfelől a beépítésre kerülő termékek megfelelősége, illetve az építési munka és a helyszínen készülő szerkezetek, munkák minőségének kell a létesítményekkel szemben megfogalmazott általános és egyedi minőségi előírások teljesülését biztosítani.</w:t>
      </w:r>
    </w:p>
    <w:p>
      <w:pPr>
        <w:pStyle w:val="Normal"/>
        <w:rPr/>
      </w:pPr>
      <w:r>
        <w:rPr/>
        <w:t>A tervezett létesítmények minőségének az igazolása a Vállalkozó feladatát képezi.</w:t>
      </w:r>
    </w:p>
    <w:p>
      <w:pPr>
        <w:pStyle w:val="Cmsor2"/>
        <w:numPr>
          <w:ilvl w:val="1"/>
          <w:numId w:val="3"/>
        </w:numPr>
        <w:rPr/>
      </w:pPr>
      <w:bookmarkStart w:id="26" w:name="_Toc453756435"/>
      <w:bookmarkEnd w:id="26"/>
      <w:r>
        <w:rPr/>
        <w:t>Környezetvédelem</w:t>
      </w:r>
    </w:p>
    <w:p>
      <w:pPr>
        <w:pStyle w:val="Normal"/>
        <w:rPr/>
      </w:pPr>
      <w:r>
        <w:rPr/>
        <w:t>A Vállalkozónak a szerződés teljesítése során úgy kell eljárni, hogy a környezetet a lehető legkisebb mértékben terhelje, veszélyeztesse, alkalmazott gépei, berendezései és technológiái környezetkímélők legyenek. Ez a követelmény vonatkozik mind a betervezésre és beépítésre kerülő termékek és megoldások kiválasztására, mind a kivitelezés és a próbák során alkalmazott eszközökre, berendezésekre.</w:t>
      </w:r>
    </w:p>
    <w:p>
      <w:pPr>
        <w:pStyle w:val="Cmsor3"/>
        <w:numPr>
          <w:ilvl w:val="2"/>
          <w:numId w:val="3"/>
        </w:numPr>
        <w:rPr/>
      </w:pPr>
      <w:bookmarkStart w:id="27" w:name="_Toc453756436"/>
      <w:bookmarkEnd w:id="27"/>
      <w:r>
        <w:rPr/>
        <w:t>Építési hulladék</w:t>
      </w:r>
    </w:p>
    <w:p>
      <w:pPr>
        <w:pStyle w:val="Szvegtrzs"/>
        <w:rPr/>
      </w:pPr>
      <w:r>
        <w:rPr/>
        <w:t>Az építési és bontási hulladékok kezelését a 45/2004 (VII. 26.) BM-KvVM együttes rendeletnek megfelelően kell elvégezni. Figyelembe kell venni az eddig rendelkezésre álló engedélyekben, továbbá a nyertes Vállalkozó által beszerzendő környezetvédelmi, vízjogi létesítési engedély és az egyéb engedélyek, határozatok, hulladékok kezelésére, hasznosítására, ártalmatlanítására vonatkozó előírásait. Az építési és bontási hulladékok mennyiségét előre meg kell becsülni, és a 45/2004 (VII. 26.) BM-KvVM együttes rendelet rendelkezései szerint a hulladékot csoportosítani kell az 1. melléklet szerint. A hulladék mennyiségét a 2. és a 3. mellékletben szereplő építési és bontási hulladék tervlapon kell feltüntetni. A keletkező hulladékokról – a mennyiségtől függetlenül – nyilvántartást kell vezetni, amelyben fel kell tüntetni a hulladék megnevezését, EWC kódját, a keletkezett mennyiséget, az átvevő hulladékkezelőt és az átadás-átvétel időpontját.</w:t>
      </w:r>
    </w:p>
    <w:p>
      <w:pPr>
        <w:pStyle w:val="Szvegtrzs"/>
        <w:rPr/>
      </w:pPr>
      <w:r>
        <w:rPr/>
        <w:t>Meg kell vizsgálni, hogy egyes csoportok mennyisége várhatóan meghaladja-e a rendelet 1. mellékletében megadott küszöbértékeket. Amennyiben nem haladja meg a küszöbértéket, az ártalmatlanítási szabályokat kell alkalmazni. (385/2014 (XII. 31.) Kormányrendelet, 20/2006. (IV. 5.) KvVM rendelet szerint).</w:t>
      </w:r>
    </w:p>
    <w:p>
      <w:pPr>
        <w:pStyle w:val="Szvegtrzs"/>
        <w:rPr/>
      </w:pPr>
      <w:r>
        <w:rPr/>
        <w:t>Amennyiben valamelyik hulladékfajta meghaladja a küszöbértéket, azt elkülönítetten kell gyűjteni, és lehetőleg az építkezés során felhasználni, vagy ha ez nem lehetséges, a (385/2014 (XII. 31.) Kormányrendelet rendelkezései szerint a hulladékkezelőnek át kell adni és a 191/2009. (IX. 15.) Kormányrendelet 13 § (3) bekezdés n.) pontja alapján a felelős műszaki vezető kötelessége arról bejelentést tenni a területileg illetékes Környezetvédelmi Felügyelőség felé.</w:t>
      </w:r>
    </w:p>
    <w:p>
      <w:pPr>
        <w:pStyle w:val="Szvegtrzs"/>
        <w:rPr/>
      </w:pPr>
      <w:r>
        <w:rPr/>
        <w:t>A hulladék termelője, tulajdonosa köteles a birtokában lévő, bármely tevékenységből származó hulladékot környezetszennyezést kizáró módon szelektíven gyűjteni. A keletkező települési és nem hasznosítható termelési, inert hulladék csak környezetvédelmi hatósági engedéllyel rendelkező hulladékkezelőnek adható át, illetve szigetelt, engedéllyel rendelkező lerakóra szállítható ártalmatlanítás céljából.</w:t>
      </w:r>
    </w:p>
    <w:p>
      <w:pPr>
        <w:pStyle w:val="Szvegtrzs"/>
        <w:rPr/>
      </w:pPr>
      <w:r>
        <w:rPr/>
        <w:t>Az építkezés lezárultával a 45/2004 (VII. 26.) BM-KvVM együttes rendelet 4. és 5. melléklete szerinti hulladék nyilvántartó lapot kell kitölteni.</w:t>
      </w:r>
    </w:p>
    <w:p>
      <w:pPr>
        <w:pStyle w:val="Szvegtrzs"/>
        <w:rPr/>
      </w:pPr>
      <w:r>
        <w:rPr/>
        <w:t>Az építési hulladék elhelyezése a Vállalkozó feladata, az elhelyezést igazoló dokumentumok másolatát 1 pld.-ban a Műszaki ellenőrnek át kell adni.</w:t>
      </w:r>
    </w:p>
    <w:p>
      <w:pPr>
        <w:pStyle w:val="Cmsor3"/>
        <w:numPr>
          <w:ilvl w:val="2"/>
          <w:numId w:val="3"/>
        </w:numPr>
        <w:rPr/>
      </w:pPr>
      <w:bookmarkStart w:id="28" w:name="_Toc453756437"/>
      <w:bookmarkEnd w:id="28"/>
      <w:r>
        <w:rPr/>
        <w:t>Egyéb környezetvédelmi követelmények</w:t>
      </w:r>
    </w:p>
    <w:p>
      <w:pPr>
        <w:pStyle w:val="Szvegtrzs"/>
        <w:rPr/>
      </w:pPr>
      <w:r>
        <w:rPr/>
        <w:t xml:space="preserve">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 </w:t>
      </w:r>
    </w:p>
    <w:p>
      <w:pPr>
        <w:pStyle w:val="Szvegtrzs"/>
        <w:rPr/>
      </w:pPr>
      <w:r>
        <w:rPr/>
        <w:t>A Vállalkozónak hathatós módszereket kell alkalmaznia a munkaterülethez vezető közutakon a sár-, vagy iszaplerakódás, egyéb szennyeződés elkerülésére, amit a Létesítmény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közterületek védelmére, valamint a zaj, por vagy egyéb szennyezés megelőzésére.</w:t>
      </w:r>
    </w:p>
    <w:p>
      <w:pPr>
        <w:pStyle w:val="Szvegtrzs"/>
        <w:rPr/>
      </w:pPr>
      <w:r>
        <w:rPr/>
        <w:t>A Vállalkozónak kötelessége a munkák során keletkezett szennyeződések megszüntetése, illetve eltakarítása, ártalmatlanítása, amelyet a létesítménnyel összefüggésben használt járművek, vagy egyéb berendezések okoznak (utakra szóródott iszap, olajszennyeződés, megmaradó növények védelme, stb.). A Vállalkozó köteles a zaj és rezgésártalmaktól az építés és felvonulás, szállítás és egyéb érintett területek környezetében élő lakosságot és építményeket megvédeni. A keletkezett zaj és rezgés mértéke a magyar jogszabályokban előírt határértéket nem haladhatja meg.</w:t>
      </w:r>
    </w:p>
    <w:p>
      <w:pPr>
        <w:pStyle w:val="Szvegtrzs"/>
        <w:rPr/>
      </w:pPr>
      <w:r>
        <w:rPr/>
        <w:t>Az építési munkahelyen, a felvonulási területen és egyéb építéssel érintett területről a felszíni vizeket megfelelő módon el kell vezetni. A keletkezett szennyvizet, amennyiben annak szennyezőanyag tartalma a 28/2004. (XII. 25.) KvVM rendelet 4. sz. mellékletében előírt, egyéb befogadóba való közvetett bevezetés esetén érvényes, közcsatornába bocsátható szennyvizek szennyezőanyag határértékeit nem lépi túl, a meglévő szennyvízcsatornába kell vezetni. Egyéb esetben azt az összetételének megfelelő szivárgásmentes fogadótartályokban kell gyűjteni, elszállításáról, ártalmatlanításáról a Vállalkozónak kell gondoskodnia.</w:t>
      </w:r>
    </w:p>
    <w:p>
      <w:pPr>
        <w:pStyle w:val="Szvegtrzs"/>
        <w:rPr/>
      </w:pPr>
      <w:r>
        <w:rPr/>
        <w:t xml:space="preserve">Bármilyen abból fakadó kárt, amely a szükséges intézkedések elmulasztásából következik, a Vállalkozónak meg kell térítenie. </w:t>
      </w:r>
    </w:p>
    <w:p>
      <w:pPr>
        <w:pStyle w:val="Szvegtrzs"/>
        <w:rPr/>
      </w:pPr>
      <w:r>
        <w:rPr/>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pPr>
        <w:pStyle w:val="Szvegtrzs"/>
        <w:rPr/>
      </w:pPr>
      <w:r>
        <w:rPr/>
        <w:t>A kivitelezésnél használt vegyszereket, kenőanyagokat, üzemanyagokat, stb. a vonatkozó biztonsági előírásoknak megfelelően kell tárolni és használni. Azokat jól láthatóan meg kell jelölni, és az üzemeltető hasonló anyagaitól elkülönítve kell tárolni. A maradék anyagokat össze kell gyűjteni, és veszélyes anyagként kell kezelni.</w:t>
      </w:r>
    </w:p>
    <w:p>
      <w:pPr>
        <w:pStyle w:val="Szvegtrzs"/>
        <w:rPr/>
      </w:pPr>
      <w:r>
        <w:rPr/>
        <w:t>Az előírtak be nem tartása miatt keletkezett bármilyen kárt a Vállalkozónak saját költségén a jogszabályok keretei között a lehető legrövidebb időn belül el kell hárítania, az erre visszavezethető kivetett bírságokat meg kell fizetnie.</w:t>
      </w:r>
    </w:p>
    <w:p>
      <w:pPr>
        <w:pStyle w:val="Szvegtrzs"/>
        <w:rPr/>
      </w:pPr>
      <w:r>
        <w:rPr/>
        <w:t>A Vállalkozó kötelessége a meglévő növényzet és fa megőrzése.</w:t>
      </w:r>
    </w:p>
    <w:p>
      <w:pPr>
        <w:pStyle w:val="Normal"/>
        <w:rPr/>
      </w:pPr>
      <w:r>
        <w:rPr/>
        <w:t>Kiemelt, kötelezően betartandó jogszabályok mind a tervezés, mind a kivitelezés során:</w:t>
      </w:r>
    </w:p>
    <w:p>
      <w:pPr>
        <w:pStyle w:val="Normal"/>
        <w:numPr>
          <w:ilvl w:val="0"/>
          <w:numId w:val="14"/>
        </w:numPr>
        <w:rPr/>
      </w:pPr>
      <w:r>
        <w:rPr/>
        <w:t>a környezet védelmének általános szabályairól szóló 1995.évi LIII.tv.</w:t>
      </w:r>
    </w:p>
    <w:p>
      <w:pPr>
        <w:pStyle w:val="Normal"/>
        <w:numPr>
          <w:ilvl w:val="0"/>
          <w:numId w:val="14"/>
        </w:numPr>
        <w:rPr/>
      </w:pPr>
      <w:r>
        <w:rPr/>
        <w:t>a vízgazdálkodásról szóló 1995. évi LVII. tv.</w:t>
      </w:r>
    </w:p>
    <w:p>
      <w:pPr>
        <w:pStyle w:val="Normal"/>
        <w:numPr>
          <w:ilvl w:val="0"/>
          <w:numId w:val="14"/>
        </w:numPr>
        <w:rPr/>
      </w:pPr>
      <w:r>
        <w:rPr/>
        <w:t>az épített környezet alakításáról és védelméről szóló 1997. évi LXXVIII. tv.</w:t>
      </w:r>
    </w:p>
    <w:p>
      <w:pPr>
        <w:pStyle w:val="Normal"/>
        <w:numPr>
          <w:ilvl w:val="0"/>
          <w:numId w:val="14"/>
        </w:numPr>
        <w:rPr/>
      </w:pPr>
      <w:r>
        <w:rPr/>
        <w:t xml:space="preserve">az építési és bontási hulladékok kezelésének részletes szabályairól szóló 45/2004.(VII.26.) BM-KvVM együttes rendelet </w:t>
      </w:r>
    </w:p>
    <w:p>
      <w:pPr>
        <w:pStyle w:val="Normal"/>
        <w:numPr>
          <w:ilvl w:val="0"/>
          <w:numId w:val="14"/>
        </w:numPr>
        <w:rPr/>
      </w:pPr>
      <w:r>
        <w:rPr/>
        <w:t>a vízszennyező anyagok kibocsátására vonatkozó határértékekről és alkalmazásuk egyes szabályairól szóló 28/2004.(XII.25.) KvVM rendelet</w:t>
      </w:r>
    </w:p>
    <w:p>
      <w:pPr>
        <w:pStyle w:val="Normal"/>
        <w:numPr>
          <w:ilvl w:val="0"/>
          <w:numId w:val="14"/>
        </w:numPr>
        <w:rPr/>
      </w:pPr>
      <w:r>
        <w:rPr/>
        <w:t>a felszín alatti vizek minősége védelmének szabályairól szóló 220/2004. (VII.21.) Kormányrendelet</w:t>
      </w:r>
    </w:p>
    <w:p>
      <w:pPr>
        <w:pStyle w:val="Normal"/>
        <w:numPr>
          <w:ilvl w:val="0"/>
          <w:numId w:val="14"/>
        </w:numPr>
        <w:rPr/>
      </w:pPr>
      <w:r>
        <w:rPr/>
        <w:t>a felszín alatti vizek védelméről szóló 219/2004. (VII.21.) Kormányrendelet</w:t>
      </w:r>
    </w:p>
    <w:p>
      <w:pPr>
        <w:pStyle w:val="Normal"/>
        <w:numPr>
          <w:ilvl w:val="0"/>
          <w:numId w:val="14"/>
        </w:numPr>
        <w:rPr/>
      </w:pPr>
      <w:r>
        <w:rPr/>
        <w:t>a földtani közeg és a felszín alatti víz szennyezéssel szembeni védelméhez szükséges határértékekről és a szennyezések méréséről szóló 6/2009.(IV.14.) Kv.VM-EüM-FVM együttes rendelet</w:t>
      </w:r>
    </w:p>
    <w:p>
      <w:pPr>
        <w:pStyle w:val="Normal"/>
        <w:numPr>
          <w:ilvl w:val="0"/>
          <w:numId w:val="14"/>
        </w:numPr>
        <w:rPr/>
      </w:pPr>
      <w:r>
        <w:rPr/>
        <w:t>225/2015. (VIII. 7.) Kormányrendelet a veszélyes hulladékkal kapcsolatos egyes tevékenységek részletes szabályairól</w:t>
      </w:r>
    </w:p>
    <w:p>
      <w:pPr>
        <w:pStyle w:val="Normal"/>
        <w:numPr>
          <w:ilvl w:val="0"/>
          <w:numId w:val="14"/>
        </w:numPr>
        <w:rPr/>
      </w:pPr>
      <w:r>
        <w:rPr/>
        <w:t>123/1997. (VII. 18.) Kormányrendelet a vízbázisok, a távlati vízbázisok, valamint az ivóvízellátást szolgáló vízilétesítmények védelméről</w:t>
      </w:r>
    </w:p>
    <w:p>
      <w:pPr>
        <w:pStyle w:val="Normal"/>
        <w:rPr/>
      </w:pPr>
      <w:r>
        <w:rPr/>
      </w:r>
    </w:p>
    <w:p>
      <w:pPr>
        <w:pStyle w:val="Cmsor2"/>
        <w:numPr>
          <w:ilvl w:val="1"/>
          <w:numId w:val="3"/>
        </w:numPr>
        <w:rPr/>
      </w:pPr>
      <w:bookmarkStart w:id="29" w:name="_Toc453756438"/>
      <w:bookmarkStart w:id="30" w:name="_Toc331981975"/>
      <w:bookmarkStart w:id="31" w:name="_Toc272310980"/>
      <w:bookmarkStart w:id="32" w:name="_Toc183858581"/>
      <w:bookmarkStart w:id="33" w:name="_Toc183856560"/>
      <w:bookmarkStart w:id="34" w:name="_Toc183852555"/>
      <w:bookmarkEnd w:id="29"/>
      <w:bookmarkEnd w:id="30"/>
      <w:bookmarkEnd w:id="31"/>
      <w:bookmarkEnd w:id="32"/>
      <w:bookmarkEnd w:id="33"/>
      <w:bookmarkEnd w:id="34"/>
      <w:r>
        <w:rPr/>
        <w:t>A Létesítmény élettartama</w:t>
      </w:r>
    </w:p>
    <w:p>
      <w:pPr>
        <w:pStyle w:val="Normal"/>
        <w:rPr/>
      </w:pPr>
      <w:r>
        <w:rPr/>
        <w:t>A Vállalkozónak a szerződés szerinti munkákat, a Létesítményt úgy kell megterveznie és kiviteleznie, hogy az, és annak egyes részei az alábbiakban megadott élettartamokon keresztül alkalmas legyen az előírt teljesítmény- és minőségi követelményeknek megfelelő működésre.</w:t>
      </w:r>
    </w:p>
    <w:p>
      <w:pPr>
        <w:pStyle w:val="Normal"/>
        <w:rPr/>
      </w:pPr>
      <w:r>
        <w:rPr/>
      </w:r>
    </w:p>
    <w:p>
      <w:pPr>
        <w:pStyle w:val="Normal"/>
        <w:rPr/>
      </w:pPr>
      <w:r>
        <w:rPr/>
      </w:r>
    </w:p>
    <w:tbl>
      <w:tblPr>
        <w:tblW w:w="9072" w:type="dxa"/>
        <w:jc w:val="left"/>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3480"/>
        <w:gridCol w:w="5591"/>
      </w:tblGrid>
      <w:tr>
        <w:trPr>
          <w:trHeight w:val="284" w:hRule="exact"/>
        </w:trPr>
        <w:tc>
          <w:tcPr>
            <w:tcW w:w="3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3F3F3" w:val="clear"/>
            <w:tcMar>
              <w:left w:w="78" w:type="dxa"/>
            </w:tcMar>
            <w:vAlign w:val="center"/>
          </w:tcPr>
          <w:p>
            <w:pPr>
              <w:pStyle w:val="Normal"/>
              <w:rPr>
                <w:b/>
                <w:b/>
              </w:rPr>
            </w:pPr>
            <w:r>
              <w:rPr>
                <w:b/>
              </w:rPr>
              <w:t>szerkezet, BERENDEZÉS</w:t>
            </w:r>
          </w:p>
        </w:tc>
        <w:tc>
          <w:tcPr>
            <w:tcW w:w="5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3F3F3" w:val="clear"/>
            <w:tcMar>
              <w:left w:w="78" w:type="dxa"/>
            </w:tcMar>
            <w:vAlign w:val="center"/>
          </w:tcPr>
          <w:p>
            <w:pPr>
              <w:pStyle w:val="Normal"/>
              <w:rPr>
                <w:b/>
                <w:b/>
              </w:rPr>
            </w:pPr>
            <w:r>
              <w:rPr>
                <w:b/>
              </w:rPr>
              <w:t>ÉLETTARTAM</w:t>
            </w:r>
          </w:p>
        </w:tc>
      </w:tr>
      <w:tr>
        <w:trPr/>
        <w:tc>
          <w:tcPr>
            <w:tcW w:w="3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i/>
                <w:i/>
              </w:rPr>
            </w:pPr>
            <w:r>
              <w:rPr/>
              <w:t>Mélyépítési létesítmény, beleértve a vb. műtárgyak, csővezetékek, egyéb betonszerkezetek és aknák építését</w:t>
            </w:r>
          </w:p>
        </w:tc>
        <w:tc>
          <w:tcPr>
            <w:tcW w:w="5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pPr>
            <w:r>
              <w:rPr/>
              <w:t>A 12/1988. (XII. 27.) ÉVM-IpM-KM-MÉM-KVM együttes rendeletben előírtak közül a leghosszabb, de legalább 50 év</w:t>
            </w:r>
          </w:p>
        </w:tc>
      </w:tr>
      <w:tr>
        <w:trPr/>
        <w:tc>
          <w:tcPr>
            <w:tcW w:w="3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i/>
                <w:i/>
              </w:rPr>
            </w:pPr>
            <w:r>
              <w:rPr/>
              <w:t>Gépészeti és elektromos berendezések, beleértve a kábeleket és a villamos kapcsoló berendezéseket</w:t>
            </w:r>
          </w:p>
        </w:tc>
        <w:tc>
          <w:tcPr>
            <w:tcW w:w="5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pPr>
            <w:r>
              <w:rPr/>
              <w:t>A 12/1988. (XII. 27.) ÉVM-IpM-KM-MÉM-KVM együttes rendeletben előírtak közül a leghosszabb, de legalább 14 év</w:t>
            </w:r>
          </w:p>
        </w:tc>
      </w:tr>
      <w:tr>
        <w:trPr/>
        <w:tc>
          <w:tcPr>
            <w:tcW w:w="3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i/>
                <w:i/>
              </w:rPr>
            </w:pPr>
            <w:r>
              <w:rPr/>
              <w:t>Irányítástechnika, műszerezés és automatika</w:t>
            </w:r>
          </w:p>
        </w:tc>
        <w:tc>
          <w:tcPr>
            <w:tcW w:w="5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rPr/>
            </w:pPr>
            <w:r>
              <w:rPr/>
              <w:t>A 12/1988. (XII. 27.) ÉVM-IpM-KM-MÉM-KVM együttes rendeletben előírtak közül a leghosszabb, de legalább 8 év</w:t>
            </w:r>
          </w:p>
        </w:tc>
      </w:tr>
    </w:tbl>
    <w:p>
      <w:pPr>
        <w:pStyle w:val="Cmsor2"/>
        <w:numPr>
          <w:ilvl w:val="1"/>
          <w:numId w:val="3"/>
        </w:numPr>
        <w:rPr/>
      </w:pPr>
      <w:bookmarkStart w:id="35" w:name="_Toc453756439"/>
      <w:bookmarkEnd w:id="35"/>
      <w:r>
        <w:rPr/>
        <w:t>Munkaterület átadás-átvétele és gondozása</w:t>
      </w:r>
    </w:p>
    <w:p>
      <w:pPr>
        <w:pStyle w:val="Normal"/>
        <w:suppressAutoHyphens w:val="false"/>
        <w:spacing w:before="120" w:after="120"/>
        <w:rPr>
          <w:rFonts w:eastAsia="Times New Roman"/>
          <w:szCs w:val="24"/>
          <w:lang w:eastAsia="hu-HU"/>
        </w:rPr>
      </w:pPr>
      <w:bookmarkStart w:id="36" w:name="_Toc183490466"/>
      <w:bookmarkEnd w:id="36"/>
      <w:r>
        <w:rPr>
          <w:rFonts w:eastAsia="Times New Roman"/>
          <w:szCs w:val="24"/>
          <w:lang w:eastAsia="hu-HU"/>
        </w:rPr>
        <w:t>A kivitelezési munka megkezdésének feltétele a munkaterület átadás-átvételi eljárás lefolytatása.</w:t>
      </w:r>
    </w:p>
    <w:p>
      <w:pPr>
        <w:pStyle w:val="Normal"/>
        <w:suppressAutoHyphens w:val="false"/>
        <w:spacing w:before="120" w:after="120"/>
        <w:rPr>
          <w:rFonts w:eastAsia="Times New Roman"/>
          <w:szCs w:val="24"/>
          <w:lang w:eastAsia="hu-HU"/>
        </w:rPr>
      </w:pPr>
      <w:r>
        <w:rPr>
          <w:rFonts w:eastAsia="Times New Roman"/>
          <w:szCs w:val="24"/>
          <w:lang w:eastAsia="hu-HU"/>
        </w:rPr>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pPr>
        <w:pStyle w:val="Normal"/>
        <w:suppressAutoHyphens w:val="false"/>
        <w:spacing w:before="120" w:after="120"/>
        <w:rPr>
          <w:rFonts w:eastAsia="Times New Roman"/>
          <w:szCs w:val="24"/>
          <w:lang w:eastAsia="hu-HU"/>
        </w:rPr>
      </w:pPr>
      <w:r>
        <w:rPr>
          <w:rFonts w:eastAsia="Times New Roman"/>
          <w:szCs w:val="24"/>
          <w:lang w:eastAsia="hu-HU"/>
        </w:rPr>
        <w:t xml:space="preserve">A nyertes Vállalkozó a Munkakezdési Jelentéshez csatoltan többek között benyújtja Építésorganizációs és Ütemtervét és az általa igénybe venni kívánt Munkaterület határait. </w:t>
      </w:r>
    </w:p>
    <w:p>
      <w:pPr>
        <w:pStyle w:val="Normal"/>
        <w:suppressAutoHyphens w:val="false"/>
        <w:spacing w:before="120" w:after="120"/>
        <w:rPr>
          <w:rFonts w:eastAsia="Times New Roman"/>
          <w:szCs w:val="24"/>
          <w:lang w:eastAsia="hu-HU"/>
        </w:rPr>
      </w:pPr>
      <w:r>
        <w:rPr>
          <w:rFonts w:eastAsia="Times New Roman"/>
          <w:szCs w:val="24"/>
          <w:lang w:eastAsia="hu-HU"/>
        </w:rPr>
        <w:t>A Műszaki ellenőr, a Megrendelő és az Üzemeltető véleményét figyelembe véve (utóbbiakat a Műszaki ellenőr véleménye tartalmazza) a Vállalkozó és a Megrendelő a Munkakezdési Jelentés benyújtását követő 30 napon belül véglegesítik a munkaterület határait. A véglegesített Építésorganizációs és Ütemterv és a Munkaterület határainak véglegesítését követően a Megrendelő a munkaterületet munkavégzésre alkalmas állapotban részben vagy teljes egészében a Vállalkozó rendelkezésére bocsátja az Építésorganizációs és Ütemtervben jelzett kivitelezési időpontra.</w:t>
      </w:r>
    </w:p>
    <w:p>
      <w:pPr>
        <w:pStyle w:val="Normal"/>
        <w:suppressAutoHyphens w:val="false"/>
        <w:spacing w:before="120" w:after="120"/>
        <w:rPr>
          <w:rFonts w:eastAsia="Times New Roman"/>
          <w:szCs w:val="24"/>
          <w:lang w:eastAsia="hu-HU"/>
        </w:rPr>
      </w:pPr>
      <w:r>
        <w:rPr>
          <w:rFonts w:eastAsia="Times New Roman"/>
          <w:szCs w:val="24"/>
          <w:lang w:eastAsia="hu-HU"/>
        </w:rPr>
        <w:t>A Vállalkozó a Munkaterület átadás-átvételi eljárás napját megelőző 5 napon belül köteles a munkaterületről a Megrendelő, a Műszaki ellenőr és a Víziközmű Társulat kijelölt képviselőjének a jelenlétében állapotrögzítő videó-felvételt készíteni a későbbi vitás helyzetek rendezésének kezeléséhez. A munkaterület állapotfelvételi dokumentációját (digitális fénykép, illetve film) különös figyelemmel kell elkészíteni azokon a területeken, ahol a közcsatorna nyomvonalvezetésénél az MSZ 7487/2-80 szabványban foglaltakat nem lehet biztosítani (épülethez, kerítéshez közel halad a csatorna), valamint ahol talajvízszint süllyesztést kell végezni.</w:t>
      </w:r>
    </w:p>
    <w:p>
      <w:pPr>
        <w:pStyle w:val="Normal"/>
        <w:suppressAutoHyphens w:val="false"/>
        <w:spacing w:before="120" w:after="120"/>
        <w:rPr>
          <w:rFonts w:eastAsia="Times New Roman"/>
          <w:szCs w:val="24"/>
          <w:lang w:eastAsia="hu-HU"/>
        </w:rPr>
      </w:pPr>
      <w:r>
        <w:rPr>
          <w:rFonts w:eastAsia="Times New Roman"/>
          <w:szCs w:val="24"/>
          <w:lang w:eastAsia="hu-HU"/>
        </w:rPr>
        <w:t xml:space="preserve">Az állapotrögzítő videofelvételeket a munkaterület átadás-átvételi eljárás keretében, jegyzőkönyvileg kell átadni a Beruházó részére. Az állapotrögzítő videofelvételekhez írásos dokumentumot kell készíteni, amelyben rögzítésre kerül, hogy mikor készültek a felvételek és kik vettek részt a felvétel készítésekor. Ezen személyek aláírásukkal hitelesítik a dokumentumot. </w:t>
      </w:r>
    </w:p>
    <w:p>
      <w:pPr>
        <w:pStyle w:val="Normal"/>
        <w:suppressAutoHyphens w:val="false"/>
        <w:spacing w:before="120" w:after="120"/>
        <w:rPr>
          <w:rFonts w:eastAsia="Times New Roman"/>
          <w:szCs w:val="24"/>
          <w:lang w:eastAsia="hu-HU"/>
        </w:rPr>
      </w:pPr>
      <w:r>
        <w:rPr>
          <w:rFonts w:eastAsia="Times New Roman"/>
          <w:szCs w:val="24"/>
          <w:lang w:eastAsia="hu-HU"/>
        </w:rPr>
        <w:t xml:space="preserve">A munkaterület akkor alkalmas az építésszerelési munkák elvégzésére, ha állapota a szerződés teljesítését nem gátolja. </w:t>
      </w:r>
    </w:p>
    <w:p>
      <w:pPr>
        <w:pStyle w:val="Normal"/>
        <w:suppressAutoHyphens w:val="false"/>
        <w:spacing w:before="120" w:after="120"/>
        <w:rPr>
          <w:rFonts w:eastAsia="Times New Roman"/>
          <w:szCs w:val="24"/>
          <w:lang w:eastAsia="hu-HU"/>
        </w:rPr>
      </w:pPr>
      <w:r>
        <w:rPr>
          <w:rFonts w:eastAsia="Times New Roman"/>
          <w:szCs w:val="24"/>
          <w:lang w:eastAsia="hu-HU"/>
        </w:rPr>
        <w:t>A munkaterület átadás-átvételi eljárást a Vállalkozó által írásban megjelölt napra a Műszaki ellenőr vagy a Megrendelő hívja össze. Az eljárásra a 191/2009. (IX. 15.) Kormányrendeletben foglaltak szerint kerül sor.</w:t>
      </w:r>
    </w:p>
    <w:p>
      <w:pPr>
        <w:pStyle w:val="Normal"/>
        <w:suppressAutoHyphens w:val="false"/>
        <w:spacing w:before="120" w:after="120"/>
        <w:rPr>
          <w:rFonts w:eastAsia="Times New Roman"/>
          <w:szCs w:val="24"/>
          <w:lang w:eastAsia="hu-HU"/>
        </w:rPr>
      </w:pPr>
      <w:r>
        <w:rPr>
          <w:rFonts w:eastAsia="Times New Roman"/>
          <w:szCs w:val="24"/>
          <w:lang w:eastAsia="hu-HU"/>
        </w:rPr>
        <w:t xml:space="preserve">A munkaterület átadás – átvételről jegyzőkönyvet kell készíteni, amely az építési napló melléklete, de a már megnyitott Építési Naplóban is rögzíteni lehet. </w:t>
      </w:r>
    </w:p>
    <w:p>
      <w:pPr>
        <w:pStyle w:val="Normal"/>
        <w:suppressAutoHyphens w:val="false"/>
        <w:spacing w:before="120" w:after="120"/>
        <w:rPr>
          <w:rFonts w:eastAsia="Times New Roman"/>
          <w:szCs w:val="24"/>
          <w:lang w:eastAsia="hu-HU"/>
        </w:rPr>
      </w:pPr>
      <w:r>
        <w:rPr>
          <w:rFonts w:eastAsia="Times New Roman"/>
          <w:szCs w:val="24"/>
          <w:lang w:eastAsia="hu-HU"/>
        </w:rPr>
        <w:t>A munkaterület átadásáról készített jegyzőkönyvnek tartalmaznia kell:</w:t>
      </w:r>
    </w:p>
    <w:p>
      <w:pPr>
        <w:pStyle w:val="Normal"/>
        <w:widowControl w:val="false"/>
        <w:numPr>
          <w:ilvl w:val="0"/>
          <w:numId w:val="15"/>
        </w:numPr>
        <w:suppressAutoHyphens w:val="false"/>
        <w:spacing w:before="40" w:after="40"/>
        <w:jc w:val="left"/>
        <w:rPr>
          <w:rFonts w:eastAsia="Times New Roman"/>
          <w:szCs w:val="24"/>
          <w:lang w:eastAsia="hu-HU"/>
        </w:rPr>
      </w:pPr>
      <w:r>
        <w:rPr>
          <w:rFonts w:eastAsia="Times New Roman"/>
          <w:szCs w:val="24"/>
          <w:lang w:eastAsia="hu-HU"/>
        </w:rPr>
        <w:t>Az átadás – átvételi eljárás helyét, idejét, a jelen lévő képviselők nevét, beosztását, címét, telefonszámát, email címét,</w:t>
      </w:r>
    </w:p>
    <w:p>
      <w:pPr>
        <w:pStyle w:val="Normal"/>
        <w:widowControl w:val="false"/>
        <w:numPr>
          <w:ilvl w:val="0"/>
          <w:numId w:val="15"/>
        </w:numPr>
        <w:suppressAutoHyphens w:val="false"/>
        <w:spacing w:before="40" w:after="40"/>
        <w:jc w:val="left"/>
        <w:rPr>
          <w:rFonts w:eastAsia="Times New Roman"/>
          <w:szCs w:val="24"/>
          <w:lang w:eastAsia="hu-HU"/>
        </w:rPr>
      </w:pPr>
      <w:r>
        <w:rPr>
          <w:rFonts w:eastAsia="Times New Roman"/>
          <w:szCs w:val="24"/>
          <w:lang w:eastAsia="hu-HU"/>
        </w:rPr>
        <w:t>A munkaterület pontos fizikai határait és az elhatárolás módját,</w:t>
      </w:r>
    </w:p>
    <w:p>
      <w:pPr>
        <w:pStyle w:val="Normal"/>
        <w:widowControl w:val="false"/>
        <w:numPr>
          <w:ilvl w:val="0"/>
          <w:numId w:val="15"/>
        </w:numPr>
        <w:suppressAutoHyphens w:val="false"/>
        <w:spacing w:before="40" w:after="40"/>
        <w:jc w:val="left"/>
        <w:rPr>
          <w:rFonts w:eastAsia="Times New Roman"/>
          <w:szCs w:val="24"/>
          <w:lang w:eastAsia="hu-HU"/>
        </w:rPr>
      </w:pPr>
      <w:r>
        <w:rPr>
          <w:rFonts w:eastAsia="Times New Roman"/>
          <w:szCs w:val="24"/>
          <w:lang w:eastAsia="hu-HU"/>
        </w:rPr>
        <w:t>Azokat a korlátozásokat, amelyeket mint a szerződés teljesítéséhez szükséges és nélkülözhetetlen munkákat csak az Üzemeltető szervezet végezhet, vagy csak szakfelügyeletével végezhetők, ezek feltételeit,</w:t>
      </w:r>
    </w:p>
    <w:p>
      <w:pPr>
        <w:pStyle w:val="Normal"/>
        <w:widowControl w:val="false"/>
        <w:numPr>
          <w:ilvl w:val="0"/>
          <w:numId w:val="15"/>
        </w:numPr>
        <w:suppressAutoHyphens w:val="false"/>
        <w:spacing w:before="40" w:after="40"/>
        <w:jc w:val="left"/>
        <w:rPr>
          <w:rFonts w:eastAsia="Times New Roman"/>
          <w:szCs w:val="24"/>
          <w:lang w:eastAsia="hu-HU"/>
        </w:rPr>
      </w:pPr>
      <w:r>
        <w:rPr>
          <w:rFonts w:eastAsia="Times New Roman"/>
          <w:szCs w:val="24"/>
          <w:lang w:eastAsia="hu-HU"/>
        </w:rPr>
        <w:t>A résztvevő, érintett feleknek a munkaterületnek a munkavégzésre való alkalmasságára utaló nyilatkozatát, feltételeiket,</w:t>
      </w:r>
    </w:p>
    <w:p>
      <w:pPr>
        <w:pStyle w:val="Normal"/>
        <w:widowControl w:val="false"/>
        <w:numPr>
          <w:ilvl w:val="0"/>
          <w:numId w:val="15"/>
        </w:numPr>
        <w:suppressAutoHyphens w:val="false"/>
        <w:spacing w:before="40" w:after="40"/>
        <w:jc w:val="left"/>
        <w:rPr>
          <w:rFonts w:eastAsia="Times New Roman"/>
          <w:szCs w:val="24"/>
          <w:lang w:eastAsia="hu-HU"/>
        </w:rPr>
      </w:pPr>
      <w:r>
        <w:rPr>
          <w:rFonts w:eastAsia="Times New Roman"/>
          <w:szCs w:val="24"/>
          <w:lang w:eastAsia="hu-HU"/>
        </w:rPr>
        <w:t>A Megrendelő által, az Üzemeltető jóváhagyásával a Vállalkozó részére térítésmentesen rendelkezésre bocsátott helyiségek, berendezések, anyagok megnevezését és állapotát,</w:t>
      </w:r>
    </w:p>
    <w:p>
      <w:pPr>
        <w:pStyle w:val="Normal"/>
        <w:widowControl w:val="false"/>
        <w:numPr>
          <w:ilvl w:val="0"/>
          <w:numId w:val="15"/>
        </w:numPr>
        <w:suppressAutoHyphens w:val="false"/>
        <w:spacing w:before="40" w:after="40"/>
        <w:jc w:val="left"/>
        <w:rPr>
          <w:rFonts w:eastAsia="Times New Roman"/>
          <w:szCs w:val="24"/>
          <w:lang w:eastAsia="hu-HU"/>
        </w:rPr>
      </w:pPr>
      <w:r>
        <w:rPr>
          <w:rFonts w:eastAsia="Times New Roman"/>
          <w:szCs w:val="24"/>
          <w:lang w:eastAsia="hu-HU"/>
        </w:rPr>
        <w:t>A Megrendelő által, az Üzemeltető jóváhagyásával a Vállalkozó részére térítés ellenében biztosított helyiségeket, berendezéseket, anyagokat és ezek egység díjtételeit,</w:t>
      </w:r>
    </w:p>
    <w:p>
      <w:pPr>
        <w:pStyle w:val="Normal"/>
        <w:widowControl w:val="false"/>
        <w:numPr>
          <w:ilvl w:val="0"/>
          <w:numId w:val="15"/>
        </w:numPr>
        <w:suppressAutoHyphens w:val="false"/>
        <w:spacing w:before="40" w:after="40"/>
        <w:jc w:val="left"/>
        <w:rPr>
          <w:rFonts w:eastAsia="Times New Roman"/>
          <w:szCs w:val="24"/>
          <w:lang w:eastAsia="hu-HU"/>
        </w:rPr>
      </w:pPr>
      <w:r>
        <w:rPr>
          <w:rFonts w:eastAsia="Times New Roman"/>
          <w:szCs w:val="24"/>
          <w:lang w:eastAsia="hu-HU"/>
        </w:rPr>
        <w:t>Az Üzemeltető által a Vállalkozó részére térítés ellenében biztosított energia és közművek egységárait,</w:t>
      </w:r>
    </w:p>
    <w:p>
      <w:pPr>
        <w:pStyle w:val="Normal"/>
        <w:widowControl w:val="false"/>
        <w:numPr>
          <w:ilvl w:val="0"/>
          <w:numId w:val="15"/>
        </w:numPr>
        <w:suppressAutoHyphens w:val="false"/>
        <w:spacing w:before="40" w:after="40"/>
        <w:jc w:val="left"/>
        <w:rPr>
          <w:rFonts w:eastAsia="Times New Roman"/>
          <w:szCs w:val="24"/>
          <w:lang w:eastAsia="hu-HU"/>
        </w:rPr>
      </w:pPr>
      <w:r>
        <w:rPr>
          <w:rFonts w:eastAsia="Times New Roman"/>
          <w:szCs w:val="24"/>
          <w:lang w:eastAsia="hu-HU"/>
        </w:rPr>
        <w:t>A jegyzőkönyvhöz mellékelni kell az Állapotrögzítő videofelvételeket és azok írásos dokumentációját.</w:t>
      </w:r>
    </w:p>
    <w:p>
      <w:pPr>
        <w:pStyle w:val="Normal"/>
        <w:suppressAutoHyphens w:val="false"/>
        <w:spacing w:before="240" w:after="120"/>
        <w:ind w:right="-45" w:hanging="0"/>
        <w:rPr>
          <w:rFonts w:eastAsia="Times New Roman"/>
          <w:szCs w:val="20"/>
          <w:lang w:eastAsia="hu-HU"/>
        </w:rPr>
      </w:pPr>
      <w:r>
        <w:rPr>
          <w:rFonts w:eastAsia="Times New Roman"/>
          <w:szCs w:val="20"/>
          <w:lang w:eastAsia="hu-HU"/>
        </w:rPr>
        <w:t>Az eljárás során szükség szerint tisztázandó további kérdések:</w:t>
      </w:r>
    </w:p>
    <w:p>
      <w:pPr>
        <w:pStyle w:val="Normal"/>
        <w:widowControl w:val="false"/>
        <w:numPr>
          <w:ilvl w:val="0"/>
          <w:numId w:val="15"/>
        </w:numPr>
        <w:suppressAutoHyphens w:val="false"/>
        <w:jc w:val="left"/>
        <w:rPr>
          <w:rFonts w:eastAsia="Times New Roman"/>
          <w:szCs w:val="24"/>
          <w:lang w:eastAsia="hu-HU"/>
        </w:rPr>
      </w:pPr>
      <w:r>
        <w:rPr>
          <w:rFonts w:eastAsia="Times New Roman"/>
          <w:szCs w:val="24"/>
          <w:lang w:eastAsia="hu-HU"/>
        </w:rPr>
        <w:t>Az építési munka célja, bemutatása</w:t>
      </w:r>
    </w:p>
    <w:p>
      <w:pPr>
        <w:pStyle w:val="Normal"/>
        <w:widowControl w:val="false"/>
        <w:numPr>
          <w:ilvl w:val="0"/>
          <w:numId w:val="15"/>
        </w:numPr>
        <w:suppressAutoHyphens w:val="false"/>
        <w:jc w:val="left"/>
        <w:rPr>
          <w:rFonts w:eastAsia="Times New Roman"/>
          <w:szCs w:val="24"/>
          <w:lang w:eastAsia="hu-HU"/>
        </w:rPr>
      </w:pPr>
      <w:r>
        <w:rPr>
          <w:rFonts w:eastAsia="Times New Roman"/>
          <w:szCs w:val="24"/>
          <w:lang w:eastAsia="hu-HU"/>
        </w:rPr>
        <w:t>A területtulajdonosok és területkezelők számbavétele</w:t>
      </w:r>
    </w:p>
    <w:p>
      <w:pPr>
        <w:pStyle w:val="Normal"/>
        <w:widowControl w:val="false"/>
        <w:numPr>
          <w:ilvl w:val="0"/>
          <w:numId w:val="15"/>
        </w:numPr>
        <w:suppressAutoHyphens w:val="false"/>
        <w:ind w:left="714" w:hanging="357"/>
        <w:jc w:val="left"/>
        <w:rPr>
          <w:rFonts w:eastAsia="Times New Roman"/>
          <w:szCs w:val="24"/>
          <w:lang w:eastAsia="hu-HU"/>
        </w:rPr>
      </w:pPr>
      <w:r>
        <w:rPr>
          <w:rFonts w:eastAsia="Times New Roman"/>
          <w:szCs w:val="24"/>
          <w:lang w:eastAsia="hu-HU"/>
        </w:rPr>
        <w:t>A munkaterületet érintő közművek és szolgáltatók számbavétele</w:t>
      </w:r>
    </w:p>
    <w:p>
      <w:pPr>
        <w:pStyle w:val="Normal"/>
        <w:widowControl w:val="false"/>
        <w:numPr>
          <w:ilvl w:val="0"/>
          <w:numId w:val="16"/>
        </w:numPr>
        <w:suppressAutoHyphens w:val="false"/>
        <w:ind w:left="714" w:hanging="357"/>
        <w:jc w:val="left"/>
        <w:rPr>
          <w:rFonts w:eastAsia="Times New Roman"/>
          <w:szCs w:val="24"/>
          <w:lang w:eastAsia="hu-HU"/>
        </w:rPr>
      </w:pPr>
      <w:r>
        <w:rPr>
          <w:rFonts w:eastAsia="Times New Roman"/>
          <w:szCs w:val="24"/>
          <w:lang w:eastAsia="hu-HU"/>
        </w:rPr>
        <w:t>Felvonulási és anyagtárolási és építési terület kijelölése</w:t>
      </w:r>
    </w:p>
    <w:p>
      <w:pPr>
        <w:pStyle w:val="Normal"/>
        <w:widowControl w:val="false"/>
        <w:numPr>
          <w:ilvl w:val="0"/>
          <w:numId w:val="16"/>
        </w:numPr>
        <w:suppressAutoHyphens w:val="false"/>
        <w:ind w:left="714" w:hanging="357"/>
        <w:jc w:val="left"/>
        <w:rPr>
          <w:rFonts w:eastAsia="Times New Roman"/>
          <w:szCs w:val="24"/>
          <w:lang w:eastAsia="hu-HU"/>
        </w:rPr>
      </w:pPr>
      <w:r>
        <w:rPr>
          <w:rFonts w:eastAsia="Times New Roman"/>
          <w:szCs w:val="24"/>
          <w:lang w:eastAsia="hu-HU"/>
        </w:rPr>
        <w:t>A Vállalkozó területhasználati igénye, területhasználati feltételek</w:t>
      </w:r>
    </w:p>
    <w:p>
      <w:pPr>
        <w:pStyle w:val="Normal"/>
        <w:widowControl w:val="false"/>
        <w:numPr>
          <w:ilvl w:val="0"/>
          <w:numId w:val="16"/>
        </w:numPr>
        <w:suppressAutoHyphens w:val="false"/>
        <w:ind w:left="714" w:hanging="357"/>
        <w:jc w:val="left"/>
        <w:rPr>
          <w:rFonts w:eastAsia="Times New Roman"/>
          <w:szCs w:val="24"/>
          <w:lang w:eastAsia="hu-HU"/>
        </w:rPr>
      </w:pPr>
      <w:r>
        <w:rPr>
          <w:rFonts w:eastAsia="Times New Roman"/>
          <w:szCs w:val="24"/>
          <w:lang w:eastAsia="hu-HU"/>
        </w:rPr>
        <w:t>Az építéshez szükséges külső energia- és közműigények, kapcsolatok és szolgáltatási feltételek</w:t>
      </w:r>
    </w:p>
    <w:p>
      <w:pPr>
        <w:pStyle w:val="Normal"/>
        <w:widowControl w:val="false"/>
        <w:numPr>
          <w:ilvl w:val="0"/>
          <w:numId w:val="16"/>
        </w:numPr>
        <w:suppressAutoHyphens w:val="false"/>
        <w:jc w:val="left"/>
        <w:rPr>
          <w:rFonts w:eastAsia="Times New Roman"/>
          <w:szCs w:val="24"/>
          <w:lang w:eastAsia="hu-HU"/>
        </w:rPr>
      </w:pPr>
      <w:r>
        <w:rPr>
          <w:rFonts w:eastAsia="Times New Roman"/>
          <w:szCs w:val="24"/>
          <w:lang w:eastAsia="hu-HU"/>
        </w:rPr>
        <w:t>Kitűzési alappontok, vonalak és azok jegyzékének átadása</w:t>
      </w:r>
    </w:p>
    <w:p>
      <w:pPr>
        <w:pStyle w:val="Normal"/>
        <w:widowControl w:val="false"/>
        <w:numPr>
          <w:ilvl w:val="0"/>
          <w:numId w:val="16"/>
        </w:numPr>
        <w:suppressAutoHyphens w:val="false"/>
        <w:ind w:left="714" w:hanging="357"/>
        <w:jc w:val="left"/>
        <w:rPr>
          <w:rFonts w:eastAsia="Times New Roman"/>
          <w:szCs w:val="24"/>
          <w:lang w:eastAsia="hu-HU"/>
        </w:rPr>
      </w:pPr>
      <w:r>
        <w:rPr>
          <w:rFonts w:eastAsia="Times New Roman"/>
          <w:szCs w:val="24"/>
          <w:lang w:eastAsia="hu-HU"/>
        </w:rPr>
        <w:t>A munkaterület elkorlátozása</w:t>
      </w:r>
    </w:p>
    <w:p>
      <w:pPr>
        <w:pStyle w:val="Normal"/>
        <w:widowControl w:val="false"/>
        <w:numPr>
          <w:ilvl w:val="0"/>
          <w:numId w:val="16"/>
        </w:numPr>
        <w:suppressAutoHyphens w:val="false"/>
        <w:ind w:left="714" w:hanging="357"/>
        <w:jc w:val="left"/>
        <w:rPr>
          <w:rFonts w:eastAsia="Times New Roman"/>
          <w:szCs w:val="24"/>
          <w:lang w:eastAsia="hu-HU"/>
        </w:rPr>
      </w:pPr>
      <w:r>
        <w:rPr>
          <w:rFonts w:eastAsia="Times New Roman"/>
          <w:szCs w:val="24"/>
          <w:lang w:eastAsia="hu-HU"/>
        </w:rPr>
        <w:t xml:space="preserve">Forgalomterelési, irányítási feltételek </w:t>
      </w:r>
    </w:p>
    <w:p>
      <w:pPr>
        <w:pStyle w:val="Normal"/>
        <w:widowControl w:val="false"/>
        <w:numPr>
          <w:ilvl w:val="0"/>
          <w:numId w:val="16"/>
        </w:numPr>
        <w:suppressAutoHyphens w:val="false"/>
        <w:ind w:left="714" w:hanging="357"/>
        <w:jc w:val="left"/>
        <w:rPr>
          <w:rFonts w:eastAsia="Times New Roman"/>
          <w:szCs w:val="24"/>
          <w:lang w:eastAsia="hu-HU"/>
        </w:rPr>
      </w:pPr>
      <w:r>
        <w:rPr>
          <w:rFonts w:eastAsia="Times New Roman"/>
          <w:szCs w:val="24"/>
          <w:lang w:eastAsia="hu-HU"/>
        </w:rPr>
        <w:t>Munkabiztonság és balesetvédelem</w:t>
      </w:r>
    </w:p>
    <w:p>
      <w:pPr>
        <w:pStyle w:val="Normal"/>
        <w:widowControl w:val="false"/>
        <w:numPr>
          <w:ilvl w:val="0"/>
          <w:numId w:val="16"/>
        </w:numPr>
        <w:suppressAutoHyphens w:val="false"/>
        <w:ind w:left="714" w:hanging="357"/>
        <w:jc w:val="left"/>
        <w:rPr>
          <w:rFonts w:eastAsia="Times New Roman"/>
          <w:szCs w:val="24"/>
          <w:lang w:eastAsia="hu-HU"/>
        </w:rPr>
      </w:pPr>
      <w:r>
        <w:rPr>
          <w:rFonts w:eastAsia="Times New Roman"/>
          <w:szCs w:val="24"/>
          <w:lang w:eastAsia="hu-HU"/>
        </w:rPr>
        <w:t>A végzendő munka egyéb különös követelményei</w:t>
      </w:r>
    </w:p>
    <w:p>
      <w:pPr>
        <w:pStyle w:val="Normal"/>
        <w:suppressAutoHyphens w:val="false"/>
        <w:rPr>
          <w:rFonts w:eastAsia="Times New Roman"/>
          <w:szCs w:val="24"/>
          <w:lang w:eastAsia="hu-HU"/>
        </w:rPr>
      </w:pPr>
      <w:r>
        <w:rPr>
          <w:rFonts w:eastAsia="Times New Roman"/>
          <w:szCs w:val="24"/>
          <w:lang w:eastAsia="hu-HU"/>
        </w:rPr>
        <w:t xml:space="preserve">A munkaterület átadása – átvétele egyebekben a Ptk. 6:241. § (1)-(2) bekezdéseiben foglaltak szerint történik. </w:t>
      </w:r>
    </w:p>
    <w:p>
      <w:pPr>
        <w:pStyle w:val="Normal"/>
        <w:suppressAutoHyphens w:val="false"/>
        <w:rPr>
          <w:rFonts w:eastAsia="Times New Roman"/>
          <w:szCs w:val="24"/>
          <w:lang w:eastAsia="hu-HU"/>
        </w:rPr>
      </w:pPr>
      <w:r>
        <w:rPr>
          <w:rFonts w:eastAsia="Times New Roman"/>
          <w:szCs w:val="24"/>
          <w:lang w:eastAsia="hu-HU"/>
        </w:rPr>
        <w:t>Az átadást követően a Vállalkozó a területen kivitelezésre jogosult, amennyiben bemutatja a Műszaki ellenőrnek, hogy rendelkezik a kivitelezés megkezdésének szerződéses feltételeivel.</w:t>
      </w:r>
    </w:p>
    <w:p>
      <w:pPr>
        <w:pStyle w:val="Normal"/>
        <w:suppressAutoHyphens w:val="false"/>
        <w:spacing w:before="120" w:after="120"/>
        <w:rPr>
          <w:rFonts w:eastAsia="Times New Roman"/>
          <w:szCs w:val="24"/>
          <w:lang w:eastAsia="hu-HU"/>
        </w:rPr>
      </w:pPr>
      <w:r>
        <w:rPr>
          <w:rFonts w:eastAsia="Times New Roman"/>
          <w:szCs w:val="24"/>
          <w:lang w:eastAsia="hu-HU"/>
        </w:rPr>
        <w:t>Az átadást követően a Vállalkozónak kell gondoskodni:</w:t>
      </w:r>
    </w:p>
    <w:p>
      <w:pPr>
        <w:pStyle w:val="Normal"/>
        <w:widowControl w:val="false"/>
        <w:numPr>
          <w:ilvl w:val="0"/>
          <w:numId w:val="15"/>
        </w:numPr>
        <w:suppressAutoHyphens w:val="false"/>
        <w:jc w:val="left"/>
        <w:rPr>
          <w:rFonts w:eastAsia="Times New Roman"/>
          <w:szCs w:val="24"/>
          <w:lang w:eastAsia="hu-HU"/>
        </w:rPr>
      </w:pPr>
      <w:r>
        <w:rPr>
          <w:rFonts w:eastAsia="Times New Roman"/>
          <w:szCs w:val="24"/>
          <w:lang w:eastAsia="hu-HU"/>
        </w:rPr>
        <w:t>a munkaterület elkorlátozásáról, őrzéséről,</w:t>
      </w:r>
    </w:p>
    <w:p>
      <w:pPr>
        <w:pStyle w:val="Normal"/>
        <w:widowControl w:val="false"/>
        <w:numPr>
          <w:ilvl w:val="0"/>
          <w:numId w:val="15"/>
        </w:numPr>
        <w:suppressAutoHyphens w:val="false"/>
        <w:ind w:left="714" w:hanging="357"/>
        <w:jc w:val="left"/>
        <w:rPr>
          <w:rFonts w:eastAsia="Times New Roman"/>
          <w:szCs w:val="24"/>
          <w:lang w:eastAsia="hu-HU"/>
        </w:rPr>
      </w:pPr>
      <w:r>
        <w:rPr>
          <w:rFonts w:eastAsia="Times New Roman"/>
          <w:szCs w:val="24"/>
          <w:lang w:eastAsia="hu-HU"/>
        </w:rPr>
        <w:t>a kötelező figyelmeztető jelzések elhelyezéséről,</w:t>
      </w:r>
    </w:p>
    <w:p>
      <w:pPr>
        <w:pStyle w:val="Normal"/>
        <w:widowControl w:val="false"/>
        <w:numPr>
          <w:ilvl w:val="0"/>
          <w:numId w:val="16"/>
        </w:numPr>
        <w:suppressAutoHyphens w:val="false"/>
        <w:ind w:left="714" w:hanging="357"/>
        <w:jc w:val="left"/>
        <w:rPr>
          <w:rFonts w:eastAsia="Times New Roman"/>
          <w:szCs w:val="24"/>
          <w:lang w:eastAsia="hu-HU"/>
        </w:rPr>
      </w:pPr>
      <w:r>
        <w:rPr>
          <w:rFonts w:eastAsia="Times New Roman"/>
          <w:szCs w:val="24"/>
          <w:lang w:eastAsia="hu-HU"/>
        </w:rPr>
        <w:t>a végzendő munka egyéb különös követelményeiről.</w:t>
      </w:r>
    </w:p>
    <w:p>
      <w:pPr>
        <w:pStyle w:val="Normal"/>
        <w:suppressAutoHyphens w:val="false"/>
        <w:rPr>
          <w:rFonts w:eastAsia="Times New Roman"/>
          <w:szCs w:val="24"/>
          <w:lang w:eastAsia="hu-HU"/>
        </w:rPr>
      </w:pPr>
      <w:r>
        <w:rPr>
          <w:rFonts w:eastAsia="Times New Roman"/>
          <w:szCs w:val="24"/>
          <w:lang w:eastAsia="hu-HU"/>
        </w:rPr>
      </w:r>
    </w:p>
    <w:p>
      <w:pPr>
        <w:pStyle w:val="Szvegtrzs"/>
        <w:rPr>
          <w:lang w:eastAsia="hu-HU"/>
        </w:rPr>
      </w:pPr>
      <w:r>
        <w:rPr>
          <w:lang w:eastAsia="hu-HU"/>
        </w:rPr>
        <w:t>A Megrendelő felelős azért, hogy a kivitelező részére átadott munkaterületre harmadik személy ne érvényesíthessen olyan jogos igényt, mely az építésszerelési munkák elvégzését akadályozza.</w:t>
      </w:r>
    </w:p>
    <w:p>
      <w:pPr>
        <w:pStyle w:val="Szvegtrzs"/>
        <w:rPr>
          <w:lang w:eastAsia="hu-HU"/>
        </w:rPr>
      </w:pPr>
      <w:r>
        <w:rPr>
          <w:lang w:eastAsia="hu-HU"/>
        </w:rPr>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w:t>
      </w:r>
    </w:p>
    <w:p>
      <w:pPr>
        <w:pStyle w:val="Szvegtrzs"/>
        <w:rPr>
          <w:lang w:eastAsia="hu-HU"/>
        </w:rPr>
      </w:pPr>
      <w:r>
        <w:rPr>
          <w:lang w:eastAsia="hu-HU"/>
        </w:rPr>
        <w:t>Az építés alatti, az ideiglenes üzem alatti valamint a próbaüzem alatti üzemeltetés költségei teljes körűen a Vállalkozót terhelik. (Ilyenek például az átemelőknél és/vagy a szennyvíztisztító telepen jelentkező energia költségek, vegyszer költségek, továbbá mindennemű személyi és anyag jellegű költségek.)</w:t>
      </w:r>
    </w:p>
    <w:p>
      <w:pPr>
        <w:pStyle w:val="Szvegtrzs"/>
        <w:rPr>
          <w:lang w:eastAsia="hu-HU"/>
        </w:rPr>
      </w:pPr>
      <w:r>
        <w:rPr>
          <w:lang w:eastAsia="hu-HU"/>
        </w:rPr>
        <w:t>A balesetek megelőzése végett a Vállalkozó a feszültségmentesítésre vonatkozó előírások végrehajtása során különös gondossággal és fokozott előrelátással köteles eljárni. Ennek körében a feszültség alatt álló és a mentesített munkaterületet félreérthetetlen módon kell megjelölni. Az e kötelezettségek megszegése miatt keletkezett kárt a mulasztó köteles megtéríteni.</w:t>
      </w:r>
    </w:p>
    <w:p>
      <w:pPr>
        <w:pStyle w:val="Szvegtrzs"/>
        <w:rPr>
          <w:lang w:eastAsia="hu-HU"/>
        </w:rPr>
      </w:pPr>
      <w:r>
        <w:rPr>
          <w:lang w:eastAsia="hu-HU"/>
        </w:rPr>
        <w:t>Az építőipari kivitelezési tevékenység megkezdésekor az építtető az építési munkaterületet a 191/2009. (IX. 15.) Kormányrendeletben foglaltak figyelembevételével, munkavégzésre alkalmas állapotban szabályos, dokumentált munkaterület átadás-átvételi eljárás keretében, a szerződés szerinti ütemezésben létesítményenként, illetve — ha van ilyen bontás az adott létesítményen belül — szakaszonként adja át a Vállalkozó részére. Az alvállalkozó kivitelező részére az építési területet a Vállalkozó adja át. A munkaterület átadás-átvétel napját a szerződés szerinti indikatív ütemterv alapján építtető képviselője, a Műszaki ellenőr értesítésével tűzik ki.</w:t>
      </w:r>
    </w:p>
    <w:p>
      <w:pPr>
        <w:pStyle w:val="Szvegtrzs"/>
        <w:rPr>
          <w:bCs/>
          <w:lang w:eastAsia="hu-HU"/>
        </w:rPr>
      </w:pPr>
      <w:r>
        <w:rPr>
          <w:bCs/>
          <w:lang w:eastAsia="hu-HU"/>
        </w:rPr>
        <w:t>A munkaterület magába foglalja mindazt a területet, amelyen Vállalkozó építési munkát végez, valamint ahol az ehhez szükséges eszközöket, berendezéseket és anyagokat tárolja, felvonulási építményeit elhelyezi. A Vállalkozó a munkaterületet kizárólag a szerződés teljesítése céljából használhatja.</w:t>
      </w:r>
    </w:p>
    <w:p>
      <w:pPr>
        <w:pStyle w:val="Szvegtrzs"/>
        <w:rPr>
          <w:lang w:eastAsia="hu-HU"/>
        </w:rPr>
      </w:pPr>
      <w:r>
        <w:rPr>
          <w:lang w:eastAsia="hu-HU"/>
        </w:rPr>
        <w:t>A munkavégzésre alkalmas állapot azt jelenti, hogy Vállalkozónak a munkaterület átadás-átvételét követően, a közművek és kezelők előírásai alapján, szükség esetén szakfelügyeletével először el kell végeznie mindazon biztonsági felméréseket, feltárásokat, kiváltásokat, amelyek a területen található közművek, vezetékek melletti biztonságos munkavégzéshez szükségesek.</w:t>
      </w:r>
    </w:p>
    <w:p>
      <w:pPr>
        <w:pStyle w:val="Szvegtrzs"/>
        <w:rPr>
          <w:lang w:eastAsia="hu-HU"/>
        </w:rPr>
      </w:pPr>
      <w:r>
        <w:rPr>
          <w:lang w:eastAsia="hu-HU"/>
        </w:rPr>
        <w:t>Az eljárásról jegyzőkönyv készül, amelyet a Műszaki ellenőr készít el.</w:t>
      </w:r>
    </w:p>
    <w:p>
      <w:pPr>
        <w:pStyle w:val="Szvegtrzs"/>
        <w:rPr>
          <w:lang w:eastAsia="hu-HU"/>
        </w:rPr>
      </w:pPr>
      <w:r>
        <w:rPr>
          <w:lang w:eastAsia="hu-HU"/>
        </w:rPr>
        <w:t>A munkaterület határait és azok biztosításának módját a kivitelezési dokumentáció részét képező Építés-organizáció terv rögzíti. A közterületeken végzett munkák építési területének határait, és azok biztosításának módját a kezelői hozzájárulások és engedélyek iránti kérelem dokumentációja tartalmazza. Vállalkozó a munkaterületen a Megrendelő (képviselője a Műszaki ellenőr), illetve a kezelők által jóváhagyott tervek alapján tevékenykedik.</w:t>
      </w:r>
    </w:p>
    <w:p>
      <w:pPr>
        <w:pStyle w:val="Szvegtrzs"/>
        <w:rPr>
          <w:lang w:eastAsia="hu-HU"/>
        </w:rPr>
      </w:pPr>
      <w:r>
        <w:rPr>
          <w:lang w:eastAsia="hu-HU"/>
        </w:rPr>
        <w:t>A raktározási és tárolási terület kialakítása csak a munkaterület határain belül megengedett. A munkaterület határain kívül végzett munkákhoz külön engedélyt kell beszerezni. Ideiglenes építőanyag- és földtároló területek, és a kiszoruló földlerakó helyek kijelölését a Műszaki ellenőrrel egyeztetve a Vállalkozó végzi.</w:t>
      </w:r>
    </w:p>
    <w:p>
      <w:pPr>
        <w:pStyle w:val="Szvegtrzs"/>
        <w:rPr>
          <w:bCs/>
          <w:lang w:eastAsia="hu-HU"/>
        </w:rPr>
      </w:pPr>
      <w:r>
        <w:rPr>
          <w:bCs/>
          <w:lang w:eastAsia="hu-HU"/>
        </w:rPr>
        <w:t>A munkaterület átadás-átvételét követően Vállalkozó egészen a kész létesítmények birtokba adásáig felel a munkaterület és a létesítmények biztonságáért, megfelelő állapotáért, és a munkaterületen lévő meglévő épületek, létesítmények (pl. kerítések, árkok, átereszek, stb.), közúti berendezések állapotának megóvásáért, illetve az eredeti állapotába történő helyreállításáért is. A Vállalkozó a munkaterületként használt, de létesítményként nem beépített területeket ottléte alatt köteles jó állapotban megtartani, és a szerződés teljesítése után köteles azokat a rendes kopás és elhasználódás figyelembe vételével az eredeti állapotukba visszaállítani. A Vállalkozó semminemű fizetségre nem jogosult azokért a fejlesztésekért, amelyeket a saját kezdeményezésére a szerződés szerinti munkákon felül a munkaterületen végrehajt.</w:t>
      </w:r>
    </w:p>
    <w:p>
      <w:pPr>
        <w:pStyle w:val="Normal"/>
        <w:numPr>
          <w:ilvl w:val="0"/>
          <w:numId w:val="17"/>
        </w:numPr>
        <w:tabs>
          <w:tab w:val="left" w:pos="360" w:leader="none"/>
        </w:tabs>
        <w:suppressAutoHyphens w:val="false"/>
        <w:rPr>
          <w:rFonts w:eastAsia="Times New Roman"/>
          <w:szCs w:val="24"/>
          <w:lang w:eastAsia="hu-HU"/>
        </w:rPr>
      </w:pPr>
      <w:r>
        <w:rPr>
          <w:rFonts w:eastAsia="Times New Roman"/>
          <w:szCs w:val="24"/>
          <w:lang w:eastAsia="hu-HU"/>
        </w:rPr>
        <w:t>A kivitelezési munka a 191/2009. (IX. 15.) Kormányrendelet alapján csak a kiviteli terv alapján végezhető.</w:t>
      </w:r>
    </w:p>
    <w:p>
      <w:pPr>
        <w:pStyle w:val="Normal"/>
        <w:numPr>
          <w:ilvl w:val="0"/>
          <w:numId w:val="17"/>
        </w:numPr>
        <w:tabs>
          <w:tab w:val="left" w:pos="360" w:leader="none"/>
        </w:tabs>
        <w:suppressAutoHyphens w:val="false"/>
        <w:rPr>
          <w:rFonts w:eastAsia="Times New Roman"/>
          <w:szCs w:val="24"/>
          <w:lang w:eastAsia="hu-HU"/>
        </w:rPr>
      </w:pPr>
      <w:r>
        <w:rPr>
          <w:rFonts w:eastAsia="Times New Roman"/>
          <w:szCs w:val="24"/>
          <w:lang w:eastAsia="hu-HU"/>
        </w:rPr>
        <w:t>A munkaterület átadás és a kiviteli terv Műszaki ellenőr általi jóváhagyása közti időszakban a munkaterületen csak a kiviteli terv készítésével kapcsolatos előkészítő, feltáró munka (felmérések, közműfeltárások ) felvonulás végezhető.</w:t>
      </w:r>
    </w:p>
    <w:p>
      <w:pPr>
        <w:pStyle w:val="Normal"/>
        <w:numPr>
          <w:ilvl w:val="0"/>
          <w:numId w:val="17"/>
        </w:numPr>
        <w:tabs>
          <w:tab w:val="left" w:pos="360" w:leader="none"/>
        </w:tabs>
        <w:suppressAutoHyphens w:val="false"/>
        <w:rPr>
          <w:rFonts w:eastAsia="Times New Roman"/>
          <w:szCs w:val="24"/>
          <w:lang w:eastAsia="hu-HU"/>
        </w:rPr>
      </w:pPr>
      <w:r>
        <w:rPr>
          <w:rFonts w:eastAsia="Times New Roman"/>
          <w:szCs w:val="24"/>
          <w:lang w:eastAsia="hu-HU"/>
        </w:rPr>
        <w:t>A kivitelezési munkák megkezdéséig minden egyéb, az Ajánlatkérési dokumentációban a kivitelezési munka megkezdésének a feltételeként meghatározottaknak (pld. Minőségbiztosítási kézikönyv átadása, meglévő közművek és vezetékek tényleges helyének meghatározása) teljesülnie kell.</w:t>
      </w:r>
    </w:p>
    <w:p>
      <w:pPr>
        <w:pStyle w:val="Szvegtrzs"/>
        <w:rPr>
          <w:lang w:eastAsia="hu-HU"/>
        </w:rPr>
      </w:pPr>
      <w:r>
        <w:rPr>
          <w:lang w:eastAsia="hu-HU"/>
        </w:rPr>
        <w:t>A kivitelezési tevékenység akkor kezdhető meg, ha a tevékenység tervezett megkezdését az építésfelügyeleti hatóságnak az építtető bejelentette és az építésfelügyeleti hatóság a kivitelezési tevékenység megkezdését, végzését nem tiltotta meg.</w:t>
      </w:r>
    </w:p>
    <w:p>
      <w:pPr>
        <w:pStyle w:val="Szvegtrzs"/>
        <w:rPr>
          <w:lang w:eastAsia="hu-HU"/>
        </w:rPr>
      </w:pPr>
      <w:bookmarkStart w:id="37" w:name="_Toc141602699"/>
      <w:bookmarkStart w:id="38" w:name="_Toc141602500"/>
      <w:bookmarkStart w:id="39" w:name="_Toc141602698"/>
      <w:bookmarkStart w:id="40" w:name="_Toc141602499"/>
      <w:bookmarkStart w:id="41" w:name="_Toc141602697"/>
      <w:bookmarkStart w:id="42" w:name="_Toc141602498"/>
      <w:bookmarkStart w:id="43" w:name="_Toc141602696"/>
      <w:bookmarkStart w:id="44" w:name="_Toc141602497"/>
      <w:bookmarkStart w:id="45" w:name="_Toc141602694"/>
      <w:bookmarkStart w:id="46" w:name="_Toc141602495"/>
      <w:bookmarkStart w:id="47" w:name="_Toc141602692"/>
      <w:bookmarkStart w:id="48" w:name="_Toc141602493"/>
      <w:bookmarkEnd w:id="37"/>
      <w:bookmarkEnd w:id="38"/>
      <w:bookmarkEnd w:id="39"/>
      <w:bookmarkEnd w:id="40"/>
      <w:bookmarkEnd w:id="41"/>
      <w:bookmarkEnd w:id="42"/>
      <w:bookmarkEnd w:id="43"/>
      <w:bookmarkEnd w:id="44"/>
      <w:bookmarkEnd w:id="45"/>
      <w:bookmarkEnd w:id="46"/>
      <w:bookmarkEnd w:id="47"/>
      <w:bookmarkEnd w:id="48"/>
      <w:r>
        <w:rPr>
          <w:lang w:eastAsia="hu-HU"/>
        </w:rPr>
        <w:t xml:space="preserve">A munkaterület átadás-átvételét követően Vállalkozó az elkészült Létesítmény átadás-átvételi igazolásának (Műszaki ellenőr adja ki) kiadásáig felel a munkaterület és a Létesítmény biztonságáért, megfelelő állapotáért. </w:t>
      </w:r>
    </w:p>
    <w:p>
      <w:pPr>
        <w:pStyle w:val="Szvegtrzs"/>
        <w:rPr>
          <w:rFonts w:eastAsia="Times New Roman"/>
          <w:szCs w:val="24"/>
          <w:lang w:eastAsia="hu-HU"/>
        </w:rPr>
      </w:pPr>
      <w:r>
        <w:rPr>
          <w:rFonts w:eastAsia="Times New Roman"/>
          <w:szCs w:val="24"/>
          <w:lang w:eastAsia="hu-HU"/>
        </w:rPr>
        <w:t xml:space="preserve">Bármely közterületen végzett munka építési területének határait, és azok biztosításának módját a Kezelői hozzájárulások iránti kérelem dokumentációjának kell tartalmaznia. A Vállalkozó közterületi munkaterületen csak ezen, a Kezelők által jóváhagyott tervek alapján tevékenykedhet. </w:t>
      </w:r>
    </w:p>
    <w:p>
      <w:pPr>
        <w:pStyle w:val="Szvegtrzs"/>
        <w:rPr>
          <w:rFonts w:eastAsia="Times New Roman"/>
          <w:szCs w:val="24"/>
          <w:lang w:eastAsia="hu-HU"/>
        </w:rPr>
      </w:pPr>
      <w:r>
        <w:rPr>
          <w:rFonts w:eastAsia="Times New Roman"/>
          <w:szCs w:val="24"/>
          <w:lang w:eastAsia="hu-HU"/>
        </w:rPr>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pPr>
        <w:pStyle w:val="Szvegtrzs"/>
        <w:rPr>
          <w:rFonts w:eastAsia="Times New Roman"/>
          <w:szCs w:val="24"/>
          <w:lang w:eastAsia="hu-HU"/>
        </w:rPr>
      </w:pPr>
      <w:r>
        <w:rPr>
          <w:rFonts w:eastAsia="Times New Roman"/>
          <w:szCs w:val="24"/>
          <w:lang w:eastAsia="hu-HU"/>
        </w:rPr>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pPr>
        <w:pStyle w:val="Cmsor1"/>
        <w:numPr>
          <w:ilvl w:val="0"/>
          <w:numId w:val="3"/>
        </w:numPr>
        <w:ind w:left="431" w:hanging="431"/>
        <w:rPr/>
      </w:pPr>
      <w:bookmarkStart w:id="49" w:name="_Toc453756440"/>
      <w:bookmarkEnd w:id="49"/>
      <w:r>
        <w:rPr/>
        <w:t>Építési napló</w:t>
      </w:r>
    </w:p>
    <w:p>
      <w:pPr>
        <w:pStyle w:val="Szvegtrzs"/>
        <w:rPr/>
      </w:pPr>
      <w:r>
        <w:rPr/>
        <w:t xml:space="preserve">Az építési naplót a hatályos jogszabályoknak megfelelőn kell megnyitni és kezelni. </w:t>
      </w:r>
      <w:r>
        <w:rPr>
          <w:i/>
        </w:rPr>
        <w:t>Az építőipari kivitelezési tevékenységről</w:t>
      </w:r>
      <w:r>
        <w:rPr/>
        <w:t xml:space="preserve"> szóló 191/2009. (IX. 15.) Korm. rendelet részletesen megszabja a napló kezelésének szabályait.</w:t>
      </w:r>
    </w:p>
    <w:p>
      <w:pPr>
        <w:pStyle w:val="Cmsor1"/>
        <w:numPr>
          <w:ilvl w:val="0"/>
          <w:numId w:val="3"/>
        </w:numPr>
        <w:ind w:left="431" w:hanging="431"/>
        <w:rPr/>
      </w:pPr>
      <w:bookmarkStart w:id="50" w:name="_Toc453756441"/>
      <w:bookmarkEnd w:id="50"/>
      <w:r>
        <w:rPr/>
        <w:t>Közterületen végzett munkák, közterület-használat</w:t>
      </w:r>
    </w:p>
    <w:p>
      <w:pPr>
        <w:pStyle w:val="Szvegtrzs"/>
        <w:spacing w:before="0" w:after="0"/>
        <w:rPr/>
      </w:pPr>
      <w:r>
        <w:rPr/>
        <w:t>Közterületen végzett munkák, közterület-használat esetén a Vállalkozónak be kell tartani az alábbiakat:</w:t>
      </w:r>
    </w:p>
    <w:p>
      <w:pPr>
        <w:pStyle w:val="Szvegtrzs"/>
        <w:numPr>
          <w:ilvl w:val="0"/>
          <w:numId w:val="19"/>
        </w:numPr>
        <w:spacing w:before="0" w:after="0"/>
        <w:rPr/>
      </w:pPr>
      <w:r>
        <w:rPr/>
        <w:t xml:space="preserve">A közterületi munkavégzéshez szükséges kezelői engedélyek és hozzájárulások megszerzése, az azokban előírtak betartása Vállalkozó feladata és felelőssége. </w:t>
      </w:r>
    </w:p>
    <w:p>
      <w:pPr>
        <w:pStyle w:val="Szvegtrzs"/>
        <w:numPr>
          <w:ilvl w:val="0"/>
          <w:numId w:val="19"/>
        </w:numPr>
        <w:spacing w:before="0" w:after="0"/>
        <w:rPr/>
      </w:pPr>
      <w:r>
        <w:rPr/>
        <w:t xml:space="preserve">A közutak használatával kapcsolatos alapvető szabályokat és feltételeket a </w:t>
      </w:r>
      <w:r>
        <w:rPr>
          <w:i/>
        </w:rPr>
        <w:t>Közúti közlekedésről</w:t>
      </w:r>
      <w:r>
        <w:rPr/>
        <w:t xml:space="preserve"> szóló 1988. évi I. tv., valamint a </w:t>
      </w:r>
      <w:r>
        <w:rPr>
          <w:i/>
        </w:rPr>
        <w:t>Közutak igazgatásáról</w:t>
      </w:r>
      <w:r>
        <w:rPr/>
        <w:t xml:space="preserve"> szóló 19/1994.(V.31.) KHVM rendelet tartalmazza. </w:t>
      </w:r>
    </w:p>
    <w:p>
      <w:pPr>
        <w:pStyle w:val="Szvegtrzs"/>
        <w:numPr>
          <w:ilvl w:val="0"/>
          <w:numId w:val="19"/>
        </w:numPr>
        <w:spacing w:before="0" w:after="0"/>
        <w:rPr/>
      </w:pPr>
      <w:r>
        <w:rPr/>
        <w:t xml:space="preserve">A közterület használat engedélyezése kérelemre indul, amelyet Vállalkozó készít és nyújt be a 19/1994. KHVM rendelet, illetve a közút kezelője által meghatározott formában, tartalommal. </w:t>
      </w:r>
    </w:p>
    <w:p>
      <w:pPr>
        <w:pStyle w:val="Szvegtrzs"/>
        <w:numPr>
          <w:ilvl w:val="0"/>
          <w:numId w:val="19"/>
        </w:numPr>
        <w:spacing w:before="0" w:after="0"/>
        <w:rPr/>
      </w:pPr>
      <w:r>
        <w:rPr/>
        <w:t xml:space="preserve">Vállalkozó feladata a közterület-használattal járó forgalomszabályozási feladatok elvégzése. E szabályozás alapjait </w:t>
      </w:r>
      <w:r>
        <w:rPr>
          <w:i/>
        </w:rPr>
        <w:t xml:space="preserve">az utak forgalomszabályozásáról és a közúti jelzések elhelyezéséről </w:t>
      </w:r>
      <w:r>
        <w:rPr/>
        <w:t>szóló 20/1984.(XII.21.) KM rendelet tartalmazza, míg a közutakon végzett munkák elkorlátozási és forgalombiztonsági szabályait a hasonló című 3/2001. (I.31.) KöViM rendelet tartalmazza. Az e rendeletekben előírtak Vállalkozóra nézve kötelező feladatok.</w:t>
      </w:r>
    </w:p>
    <w:p>
      <w:pPr>
        <w:pStyle w:val="Szvegtrzs"/>
        <w:spacing w:before="0" w:after="0"/>
        <w:rPr/>
      </w:pPr>
      <w:r>
        <w:rPr/>
      </w:r>
    </w:p>
    <w:p>
      <w:pPr>
        <w:pStyle w:val="Szvegtrzs"/>
        <w:spacing w:before="0" w:after="0"/>
        <w:rPr/>
      </w:pPr>
      <w:r>
        <w:rPr/>
        <w:t>Az utak helyreállításával kapcsolatos kezelői előírásokat a Vállalkozó által beszerzendő közterület bontási engedély fogja rögzíteni.</w:t>
      </w:r>
    </w:p>
    <w:p>
      <w:pPr>
        <w:pStyle w:val="Szvegtrzs"/>
        <w:spacing w:before="0" w:after="0"/>
        <w:rPr/>
      </w:pPr>
      <w:r>
        <w:rPr/>
        <w:t xml:space="preserve">Kezelői hozzájárulás szükséges minden olyan esetben, amikor a közút nem közlekedési célú igénybevétele a közterület felbontásával, közúton folyó munkával jár. </w:t>
      </w:r>
    </w:p>
    <w:p>
      <w:pPr>
        <w:pStyle w:val="Szvegtrzs"/>
        <w:spacing w:before="0" w:after="0"/>
        <w:rPr/>
      </w:pPr>
      <w:r>
        <w:rPr/>
        <w:t>A települési utakon végzett munkákra vonatkozó fontosabb előírások — a Vállalkozóra nézve a rendeletben foglalt teljes körű követelményrendszer szűkítése nélkül — a következők:</w:t>
      </w:r>
    </w:p>
    <w:p>
      <w:pPr>
        <w:pStyle w:val="Szvegtrzs"/>
        <w:numPr>
          <w:ilvl w:val="0"/>
          <w:numId w:val="18"/>
        </w:numPr>
        <w:spacing w:before="0" w:after="0"/>
        <w:rPr/>
      </w:pPr>
      <w:r>
        <w:rPr/>
        <w:t>A munkálatok megkezdése előtt a Vállalkozónak az érdekeltek bevonásával munkaegyeztető tárgyalást kell tartania az egyes részmunkák határidőre történő elvégzésének és műszakilag helyes végrehajtásának biztosítása érdekében.</w:t>
      </w:r>
    </w:p>
    <w:p>
      <w:pPr>
        <w:pStyle w:val="Szvegtrzs"/>
        <w:numPr>
          <w:ilvl w:val="0"/>
          <w:numId w:val="18"/>
        </w:numPr>
        <w:spacing w:before="0" w:after="0"/>
        <w:rPr/>
      </w:pPr>
      <w:r>
        <w:rPr/>
        <w:t>A Vállalkozó a munkálatok megkezdésekor köteles a munkaárokban található vezetékek bemérése érdekében a közműnyilvántartónak bejelentést tenni.</w:t>
      </w:r>
    </w:p>
    <w:p>
      <w:pPr>
        <w:pStyle w:val="Szvegtrzs"/>
        <w:numPr>
          <w:ilvl w:val="0"/>
          <w:numId w:val="18"/>
        </w:numPr>
        <w:spacing w:before="0" w:after="0"/>
        <w:rPr/>
      </w:pPr>
      <w:r>
        <w:rPr/>
        <w:t>A bemérés megtörténtéig a munkaárok nem temethető vissza.</w:t>
      </w:r>
    </w:p>
    <w:p>
      <w:pPr>
        <w:pStyle w:val="Szvegtrzs"/>
        <w:numPr>
          <w:ilvl w:val="0"/>
          <w:numId w:val="18"/>
        </w:numPr>
        <w:spacing w:before="0" w:after="0"/>
        <w:rPr/>
      </w:pPr>
      <w:r>
        <w:rPr/>
        <w:t>A közműbemérés költségei a vállalkozót terhelik.</w:t>
      </w:r>
    </w:p>
    <w:p>
      <w:pPr>
        <w:pStyle w:val="Szvegtrzs"/>
        <w:numPr>
          <w:ilvl w:val="0"/>
          <w:numId w:val="18"/>
        </w:numPr>
        <w:spacing w:before="0" w:after="0"/>
        <w:rPr/>
      </w:pPr>
      <w:r>
        <w:rPr/>
        <w:t>A hozzájárulás kiadását november 15-től március 15-ig terjedő időszakra a közút kezelője megtagadhatja, ha valószínű, hogy a burkolat helyreállítása az időjárás miatt megfelelő minőségben nem biztosítható.</w:t>
      </w:r>
    </w:p>
    <w:p>
      <w:pPr>
        <w:pStyle w:val="Szvegtrzs"/>
        <w:numPr>
          <w:ilvl w:val="0"/>
          <w:numId w:val="18"/>
        </w:numPr>
        <w:spacing w:before="0" w:after="0"/>
        <w:rPr/>
      </w:pPr>
      <w:r>
        <w:rPr/>
        <w:t>A település lakott területén zajjal járó bontási munkálatok 22.00 órától reggel 06.00 óráig nem végezhetők. Kivételek azok a rendkívüli munkák, amelyek végzését közérdekből a nappali órákig elhalasztani nem lehet.</w:t>
      </w:r>
    </w:p>
    <w:p>
      <w:pPr>
        <w:pStyle w:val="Szvegtrzs"/>
        <w:numPr>
          <w:ilvl w:val="0"/>
          <w:numId w:val="18"/>
        </w:numPr>
        <w:spacing w:before="0" w:after="0"/>
        <w:rPr/>
      </w:pPr>
      <w:r>
        <w:rPr/>
        <w:t>A vállalkozó köteles a bontási munkák megkezdése előtt 8 nappal értesíteni az érintett terület lakóit a felbontás kezdésének és a helyreállítás befejezésének időpontjáról. Az értesítés elmulasztása esetén a szolgáltatás és ellátás akadályoztatásából származó károk megfizetése az vállalkozót terheli.</w:t>
      </w:r>
    </w:p>
    <w:p>
      <w:pPr>
        <w:pStyle w:val="Szvegtrzs"/>
        <w:numPr>
          <w:ilvl w:val="0"/>
          <w:numId w:val="18"/>
        </w:numPr>
        <w:spacing w:before="0" w:after="0"/>
        <w:rPr/>
      </w:pPr>
      <w:r>
        <w:rPr/>
        <w:t>A munkálatok időtartamára a vállalkozó minden esetben köteles az érintett telkek, épületek megközelítését mentők, tűzoltók részére ideiglenes átjáró (hidprovizórium) építésével biztosítani.</w:t>
      </w:r>
    </w:p>
    <w:p>
      <w:pPr>
        <w:pStyle w:val="Szvegtrzs"/>
        <w:numPr>
          <w:ilvl w:val="0"/>
          <w:numId w:val="18"/>
        </w:numPr>
        <w:spacing w:before="0" w:after="0"/>
        <w:rPr/>
      </w:pPr>
      <w:r>
        <w:rPr/>
        <w:t>A Vállalkozó köteles a munkálatok tartama alatt a víz akadálytalan lefolyását biztosítani, a sár és egyéb szennyeződés eltakarítását elvégezni.</w:t>
      </w:r>
    </w:p>
    <w:p>
      <w:pPr>
        <w:pStyle w:val="Szvegtrzs"/>
        <w:numPr>
          <w:ilvl w:val="0"/>
          <w:numId w:val="18"/>
        </w:numPr>
        <w:spacing w:before="0" w:after="0"/>
        <w:rPr/>
      </w:pPr>
      <w:r>
        <w:rPr/>
        <w:t>Tilos a közterületen lévő geodéziai jeleket és létesítményeket megváltoztatni. A közút területén, határán, az alatt vagy a felett lévő közműveken, műtárgyakon, úttartozékokon, vagy létesítményeken engedély nélkül változásokat végrehajtani tilos.</w:t>
      </w:r>
    </w:p>
    <w:p>
      <w:pPr>
        <w:pStyle w:val="Szvegtrzs"/>
        <w:numPr>
          <w:ilvl w:val="0"/>
          <w:numId w:val="18"/>
        </w:numPr>
        <w:spacing w:before="0" w:after="0"/>
        <w:rPr/>
      </w:pPr>
      <w:r>
        <w:rPr/>
        <w:t>A felbontott aszfaltot, a helyreállításhoz fel nem használható burkolókövet, szegélykövet, egyéb tartozékot megtisztítva a kijelölt helyre (a veszélyességi fokozatnak megfelelő) ideiglenes tárolóhelyre/hulladékátvevő telephelyre köteles a vállalkozó beszállítani és az elhelyezési díjat megfizetni.</w:t>
      </w:r>
    </w:p>
    <w:p>
      <w:pPr>
        <w:pStyle w:val="Szvegtrzs"/>
        <w:numPr>
          <w:ilvl w:val="0"/>
          <w:numId w:val="18"/>
        </w:numPr>
        <w:spacing w:before="0" w:after="0"/>
        <w:rPr/>
      </w:pPr>
      <w:r>
        <w:rPr/>
        <w:t>A burkolat végleges helyreállításáig a Vállalkozó köteles a felbontott helyet karbantartani, a felbontott anyagokat gondosan megtisztítva szétválogatni és a burkolóanyagot idomba rakni úgy, hogy a közlekedést ne zavarja. Amennyiben a bontási anyag tárolása közlekedés zavarása nélkül nem oldható meg, a vállalkozó köteles azt azonnal elszállítani.</w:t>
      </w:r>
    </w:p>
    <w:p>
      <w:pPr>
        <w:pStyle w:val="Szvegtrzs"/>
        <w:numPr>
          <w:ilvl w:val="0"/>
          <w:numId w:val="18"/>
        </w:numPr>
        <w:spacing w:before="0" w:after="0"/>
        <w:rPr/>
      </w:pPr>
      <w:r>
        <w:rPr/>
        <w:t>A munkaároktól a csapadékvizet távol kell tartani.</w:t>
      </w:r>
    </w:p>
    <w:p>
      <w:pPr>
        <w:pStyle w:val="Szvegtrzs"/>
        <w:numPr>
          <w:ilvl w:val="0"/>
          <w:numId w:val="18"/>
        </w:numPr>
        <w:spacing w:before="0" w:after="0"/>
        <w:rPr/>
      </w:pPr>
      <w:r>
        <w:rPr/>
        <w:t xml:space="preserve">A munkaárokba szerves anyagot, építési törmeléket, szemetet visszatölteni nem szabad. </w:t>
        <w:br/>
        <w:t>A munkaárok csak jól tömöríthető talajjal vagy az előírt anyaggal tölthető fel a vonatkozó szabványok, műszaki előírások szerint. Indokolt esetben talajcserét kell végezni.</w:t>
      </w:r>
    </w:p>
    <w:p>
      <w:pPr>
        <w:pStyle w:val="Normal"/>
        <w:numPr>
          <w:ilvl w:val="0"/>
          <w:numId w:val="18"/>
        </w:numPr>
        <w:rPr/>
      </w:pPr>
      <w:r>
        <w:rPr/>
        <w:t>Forgalomterelés, forgalomkorlátozás esetén az út tulajdonosa – kezelője – előírásainak megfelelően a lakosságot minden esetben tájékoztatni szükséges.</w:t>
      </w:r>
    </w:p>
    <w:p>
      <w:pPr>
        <w:pStyle w:val="Normal"/>
        <w:numPr>
          <w:ilvl w:val="0"/>
          <w:numId w:val="18"/>
        </w:numPr>
        <w:rPr/>
      </w:pPr>
      <w:r>
        <w:rPr/>
        <w:t>A közműépítés során, ha közút igénybevétele teljes útelzárással jár, terelő utat kell kijelölni. Ha a forgalom megkívánja, a terelőút megerősítéséről gondoskodni kell. Az építés befejezése után a terelőút helyreállítását, a közút tulajdonosának előírása alapján kell elvégezni. Terelőút hiányában a kivitelezést szakaszosan kell végezni és legalább 3 óránként a forgalmat 15 perc időtartamra biztosítani kell.</w:t>
      </w:r>
    </w:p>
    <w:p>
      <w:pPr>
        <w:pStyle w:val="Normal"/>
        <w:numPr>
          <w:ilvl w:val="0"/>
          <w:numId w:val="18"/>
        </w:numPr>
        <w:rPr/>
      </w:pPr>
      <w:r>
        <w:rPr/>
        <w:t>A Vállalkozó (kivitelező) a közterület bontását csak a kezelői hozzájárulás kiadása után kezdheti meg, és a munkákat az abban foglaltak szerint végezheti el.</w:t>
      </w:r>
    </w:p>
    <w:p>
      <w:pPr>
        <w:pStyle w:val="Normal"/>
        <w:numPr>
          <w:ilvl w:val="0"/>
          <w:numId w:val="18"/>
        </w:numPr>
        <w:rPr/>
      </w:pPr>
      <w:r>
        <w:rPr/>
        <w:t>A Vállalkozó köteles:</w:t>
      </w:r>
    </w:p>
    <w:p>
      <w:pPr>
        <w:pStyle w:val="Normal"/>
        <w:numPr>
          <w:ilvl w:val="1"/>
          <w:numId w:val="18"/>
        </w:numPr>
        <w:rPr/>
      </w:pPr>
      <w:r>
        <w:rPr/>
        <w:t>a közút és a járda bontása esetén a bontás és az ideiglenes helyreállítás teljes ideje alatt (a végleges helyreállításig) gondoskodni a forgalom szabályozásáról, a balesetveszély megelőzéséről, és a folyamatos helyreállításról,</w:t>
      </w:r>
    </w:p>
    <w:p>
      <w:pPr>
        <w:pStyle w:val="Normal"/>
        <w:numPr>
          <w:ilvl w:val="1"/>
          <w:numId w:val="18"/>
        </w:numPr>
        <w:rPr/>
      </w:pPr>
      <w:r>
        <w:rPr/>
        <w:t>a munkahelyet és a felvonulási területet tisztántartani, kitáblázni, forgalom elől elkorlátozni,</w:t>
      </w:r>
    </w:p>
    <w:p>
      <w:pPr>
        <w:pStyle w:val="Normal"/>
        <w:numPr>
          <w:ilvl w:val="1"/>
          <w:numId w:val="18"/>
        </w:numPr>
        <w:rPr/>
      </w:pPr>
      <w:r>
        <w:rPr/>
        <w:t>a munka során a növényzet védelméről gondoskodni,</w:t>
      </w:r>
    </w:p>
    <w:p>
      <w:pPr>
        <w:pStyle w:val="Normal"/>
        <w:numPr>
          <w:ilvl w:val="1"/>
          <w:numId w:val="18"/>
        </w:numPr>
        <w:rPr/>
      </w:pPr>
      <w:r>
        <w:rPr/>
        <w:t>a felesleges földet, törmeléket és hulladékot folyamatosan elszállítani,</w:t>
      </w:r>
    </w:p>
    <w:p>
      <w:pPr>
        <w:pStyle w:val="Normal"/>
        <w:numPr>
          <w:ilvl w:val="1"/>
          <w:numId w:val="18"/>
        </w:numPr>
        <w:rPr/>
      </w:pPr>
      <w:r>
        <w:rPr/>
        <w:t>a munkálatok elvégzése után a végleges helyreállításig a nyomvonalat biztonságos közlekedésre alkalmas állapotban tartani, a szemcsésanyag kiverődéseket folyamatosan és azonnal szintbe feltölteni,</w:t>
      </w:r>
    </w:p>
    <w:p>
      <w:pPr>
        <w:pStyle w:val="Normal"/>
        <w:numPr>
          <w:ilvl w:val="1"/>
          <w:numId w:val="18"/>
        </w:numPr>
        <w:rPr/>
      </w:pPr>
      <w:r>
        <w:rPr/>
        <w:t>a munka befejezése után gondoskodni az eredeti állapotnak megfelelő forgalmi rend visszaállításáról,</w:t>
      </w:r>
    </w:p>
    <w:p>
      <w:pPr>
        <w:pStyle w:val="Normal"/>
        <w:numPr>
          <w:ilvl w:val="1"/>
          <w:numId w:val="18"/>
        </w:numPr>
        <w:rPr/>
      </w:pPr>
      <w:r>
        <w:rPr/>
        <w:t xml:space="preserve">a műszaki átadás-átvételi eljárás során a teherbírás, illetőleg a tömörség vizsgálatáról szóló méréseket (jegyzőkönyvet) — amennyiben a kezelői hozzájárulásban, vagy a tervben előírásra került — becsatolni. A méréseket csak minősítési joggal rendelkező szervezet végezheti. </w:t>
      </w:r>
    </w:p>
    <w:p>
      <w:pPr>
        <w:pStyle w:val="Cmsor1"/>
        <w:numPr>
          <w:ilvl w:val="0"/>
          <w:numId w:val="3"/>
        </w:numPr>
        <w:ind w:left="431" w:hanging="431"/>
        <w:rPr/>
      </w:pPr>
      <w:bookmarkStart w:id="51" w:name="_Toc453756442"/>
      <w:bookmarkEnd w:id="51"/>
      <w:r>
        <w:rPr/>
        <w:t>Közművek, vezetékek</w:t>
      </w:r>
    </w:p>
    <w:p>
      <w:pPr>
        <w:pStyle w:val="Szvegtrzs"/>
        <w:rPr/>
      </w:pPr>
      <w:r>
        <w:rPr/>
        <w:t>Vállalkozó az engedélyezési és a kiviteli tervezés során felelős az építési területen haladó összes lehetséges közmű helyének nyilvántartás szerint állapotát a közmű üzemeltetőjével folytatott egyeztetések révén megismerni és a terveiben egy össz-közmű helyszínrajzon megjelenítve azokat együtt nyilvántartani. A rendelkezésre álló vízjogi engedélyezési és ajánlatkérési tervben szereplő adatok a készítés időpontjában aktuális és rendelkezésre álló információk alapján készültek. A Vállalkozó feladata, hogy ezek aktualitását ellenőrizze s ez alapján szükséges módosításokat elvégezze. Az átadott közműtérképek teljes körűségéért és aktuális, tényszerű állapotáért tehát Megrendelő semmilyen felelősséget nem vállal.</w:t>
      </w:r>
    </w:p>
    <w:p>
      <w:pPr>
        <w:pStyle w:val="Szvegtrzs"/>
        <w:rPr/>
      </w:pPr>
      <w:r>
        <w:rPr/>
        <w:t>Az új létesítmények kivitelezése során Vállalkozónak figyelembe kell vennie a közművekre vonatkozó védőtávolságokat.</w:t>
      </w:r>
    </w:p>
    <w:p>
      <w:pPr>
        <w:pStyle w:val="Szvegtrzs"/>
        <w:rPr/>
      </w:pPr>
      <w:r>
        <w:rPr/>
        <w:t>Vállalkozó a kivitelezés során felelős a közművek és vezetékek tényleges helyének meghatározásáért – az Üzemeltető által meghatározott és a Műszaki ellenőr által jóváhagyott módon - és az össz-közmű helyszínrajzon magassági helyzetükkel együtt a tényleges állapotot rögzíteni köteles.</w:t>
      </w:r>
    </w:p>
    <w:p>
      <w:pPr>
        <w:pStyle w:val="Szvegtrzs"/>
        <w:rPr/>
      </w:pPr>
      <w:r>
        <w:rPr/>
        <w:t>Ahol a létesítmény megvalósítása közben a Vállalkozó földalatti kábelek, vezetékek vagy közművek nyomvonalára utaló jelzéseket talál, az ilyen jelzéseket köteles a helyükön hagyni, illetve ha a munkálatok során ideiglenesen el kellett azokat távolítani, köteles gondoskodni a visszahelyezésükről. Minden ezzel kapcsolatos művelethez a Műszaki ellenőr jóváhagyása szükséges.</w:t>
      </w:r>
    </w:p>
    <w:p>
      <w:pPr>
        <w:pStyle w:val="Szvegtrzs"/>
        <w:rPr/>
      </w:pPr>
      <w:r>
        <w:rPr/>
        <w:t>A Vállalkozó felelős az építési munka során kibontott, keresztezett kábelek, vezetékek és közművek állapotának megőrzéséért, illetve azok eltávolításáért és visszahelyezéséért (helyzetüktől függően), és az ezzel kapcsolatos összes költségekért, függetlenül attól, hogy azokat Megrendelő – szerződés részét képező - adatszolgáltatása jelezte-e, vagy nem.</w:t>
      </w:r>
    </w:p>
    <w:p>
      <w:pPr>
        <w:pStyle w:val="Szvegtrzs"/>
        <w:rPr/>
      </w:pPr>
      <w:r>
        <w:rPr/>
        <w:t>A kábelek, vezetékek és közművek eltávolítása és visszahelyezése, és az ezzel kapcsolatos költségek viselése nem a Vállalkozó kötelessége, ha azt a közmű kezelője, vagy más szakmai szervezet magára vállalja.</w:t>
      </w:r>
    </w:p>
    <w:p>
      <w:pPr>
        <w:pStyle w:val="Szvegtrzs"/>
        <w:rPr/>
      </w:pPr>
      <w:r>
        <w:rPr/>
        <w:t>A tervezés során a Vállalkozó köteles a közművek helyzetének lehető legpontosabb megállapítása érdekében a szükséges egyeztetéseket a közműkezelőkkel lefolytatni. A Vállalkozó az általa készített tervekhez meg kell, hogy szerezze a közművek kezelőinek hozzájárulást. Minden ezen hozzájáruláshoz szükséges további terv és számítás elkészítése a Vállalkozó feladata.</w:t>
      </w:r>
    </w:p>
    <w:p>
      <w:pPr>
        <w:pStyle w:val="Szvegtrzs"/>
        <w:rPr/>
      </w:pPr>
      <w:r>
        <w:rPr/>
        <w:t>A kivitelezés megkezdése előtt a Vállalkozó köteles feltárással vagy egyéb módon meggyőződni a közművek valós helyzetéről. A közművezetékek közelében végzendő munkák, vagy a közművekre való csatlakozás megkezdése előtt a Vállalkozónak a közmű kezelőjétől szakfelügyeletet kell kérni. A felmerülő költségek a Vállalkozót terhelik.</w:t>
      </w:r>
    </w:p>
    <w:p>
      <w:pPr>
        <w:pStyle w:val="Szvegtrzs"/>
        <w:rPr/>
      </w:pPr>
      <w:r>
        <w:rPr/>
        <w:t>A Vállalkozónak bármilyen, a meglévő közműveket érintő földkitermelési, vagy egyéb munka megkezdése előtt tisztában kell lennie valamennyi meglévő szolgáltatói létesítmény, közmű elhelyezkedésével, így a telefon és elektromos vezetékek, villanyoszlopok, víz-, gázvezetékek, olaj, és hasonlók helyzetével. Amennyiben a földmunkák végzése során a Vállalkozó esetleg felderítetlen földalatti közművezetéket/kábelt tár fel, a szükséges intézkedés érdekében azonnal értesíteni kell a Megrendelő Képviselőjét, és meg kell tenni a baleset és kár elkerüléséhez szükséges intézkedéseket. A vonatkozó munkák kivitelezése során az általa, vagy alvállalkozói által az utakban, csatornahálózatban, csövekben, vezetékekben illetve közművekben okozott mindennemű kárért a Vállalkozó felel, és azokat köteles saját költségén a Műszaki ellenőr által előírt módon és határidőn belül helyreállítani.</w:t>
      </w:r>
    </w:p>
    <w:p>
      <w:pPr>
        <w:pStyle w:val="Szvegtrzs"/>
        <w:rPr/>
      </w:pPr>
      <w:r>
        <w:rPr/>
        <w:t>A közműveknek a Műszaki ellenőr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w:t>
      </w:r>
    </w:p>
    <w:p>
      <w:pPr>
        <w:pStyle w:val="Szvegtrzs"/>
        <w:rPr/>
      </w:pPr>
      <w:r>
        <w:rPr/>
        <w:t>A kivitelezési munkák során az előírásoknak megfelelően biztosítani kell az építési munkák helyszínét keresztező vonalas létesítményeket, közműveket és csővezetékeket. A közművekre való rákötés csak az adott közmű lezárt állapotában történhet. Ennek biztosítása a Vállalkozó feladata.</w:t>
      </w:r>
    </w:p>
    <w:p>
      <w:pPr>
        <w:pStyle w:val="Szvegtrzs"/>
        <w:rPr/>
      </w:pPr>
      <w:r>
        <w:rPr/>
        <w:t>A kivitelezési munkák során az előírásoknak megfelelően biztosítani kell a folyamatos üzemszerű működést is.</w:t>
      </w:r>
    </w:p>
    <w:p>
      <w:pPr>
        <w:pStyle w:val="Szvegtrzs"/>
        <w:rPr/>
      </w:pPr>
      <w:r>
        <w:rPr/>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pPr>
        <w:pStyle w:val="Szvegtrzs"/>
        <w:rPr/>
      </w:pPr>
      <w:r>
        <w:rPr/>
        <w:t>A Vállalkozónak meg kell tennie a szükséges intézkedéseket a közművek nyomvonalának megváltoztatására, amennyiben erre a munkavégzéshez szükség van. Ilyen intézkedésekhez a Megrendelő képviselőjének előzetes jóváhagyására van szükség.</w:t>
      </w:r>
    </w:p>
    <w:p>
      <w:pPr>
        <w:pStyle w:val="Szvegtrzs"/>
        <w:rPr/>
      </w:pPr>
      <w:r>
        <w:rPr/>
        <w:t>Az építés befejezése után az ideiglenes közműbekötések tekintetében az eredeti állapot helyreállítása szükséges.</w:t>
      </w:r>
    </w:p>
    <w:p>
      <w:pPr>
        <w:pStyle w:val="Szvegtrzs"/>
        <w:rPr/>
      </w:pPr>
      <w:r>
        <w:rPr/>
        <w:t>Vonatkozó ajánlott jogszabályok</w:t>
      </w:r>
    </w:p>
    <w:p>
      <w:pPr>
        <w:pStyle w:val="Szvegtrzs"/>
        <w:numPr>
          <w:ilvl w:val="0"/>
          <w:numId w:val="21"/>
        </w:numPr>
        <w:rPr/>
      </w:pPr>
      <w:r>
        <w:rPr/>
        <w:t>147/2010. (IV. 29.) Korm. rendelet a vizek hasznosítását, védelmét és kártételeinek elhárítását szolgáló tevékenységekre és létesítményekre vonatkozó általános szabályokról – 1. sz. melléklet,</w:t>
      </w:r>
    </w:p>
    <w:p>
      <w:pPr>
        <w:pStyle w:val="Szvegtrzs"/>
        <w:numPr>
          <w:ilvl w:val="0"/>
          <w:numId w:val="20"/>
        </w:numPr>
        <w:rPr/>
      </w:pPr>
      <w:r>
        <w:rPr/>
        <w:t>8/2012. (I. 26.) NMHH rendelet az elektronikus hírközlési építmények egyéb nyomvonalas építményfajtákkal való keresztezéséről, megközelítéséről és védelméről.</w:t>
      </w:r>
    </w:p>
    <w:p>
      <w:pPr>
        <w:pStyle w:val="Cmsor1"/>
        <w:numPr>
          <w:ilvl w:val="0"/>
          <w:numId w:val="3"/>
        </w:numPr>
        <w:ind w:left="431" w:hanging="431"/>
        <w:rPr/>
      </w:pPr>
      <w:bookmarkStart w:id="52" w:name="_Toc453756443"/>
      <w:bookmarkEnd w:id="52"/>
      <w:r>
        <w:rPr/>
        <w:t>Üzempróbák, Műszaki átadás-átvétel</w:t>
      </w:r>
    </w:p>
    <w:p>
      <w:pPr>
        <w:pStyle w:val="Normal"/>
        <w:rPr/>
      </w:pPr>
      <w:r>
        <w:rPr/>
        <w:t>A rendszer minden berendezésének üzemképességét, biztonságos üzemét a Vállalkozónak külön-külön kell ellenőriznie. Ellenőrizni kell, hogy minden megfelel a műszaki szabványoknak és a Megrendelő követelményeinek.</w:t>
      </w:r>
    </w:p>
    <w:p>
      <w:pPr>
        <w:pStyle w:val="Normal"/>
        <w:rPr/>
      </w:pPr>
      <w:r>
        <w:rPr>
          <w:b/>
        </w:rPr>
        <w:t>A kivitelezéssel már nem érintett munkaterületeken</w:t>
      </w:r>
      <w:r>
        <w:rPr/>
        <w:t xml:space="preserve"> az üzemeltető jelenlétében elvégzett minőségi felülvizsgálat szükséges az üzembe helyezési eljárás megkezdése előtt, attól számított 30 napon belül. A felülvizsgálat időtartamát és tartalmát jelentősen csökkentheti a tervezés és a kivitelezés során az üzemeltetővel végzendő konzultáció, egyeztetés a műszaki alapelvekre és műszaki tartalomra vonatkozóan. </w:t>
      </w:r>
    </w:p>
    <w:p>
      <w:pPr>
        <w:pStyle w:val="Normal"/>
        <w:rPr/>
      </w:pPr>
      <w:r>
        <w:rPr/>
        <w:t xml:space="preserve">A megvalósult létesítménynek az üzemeltető bevonásával történő műszaki felülvizsgálata célszerűen – jelentős költség és idő megtakarításával – egybeeshet a műszaki átadás-átvételi eljárás hasonló tartalmú műszaki felülvizsgálatával. </w:t>
      </w:r>
      <w:r>
        <w:rPr>
          <w:b/>
        </w:rPr>
        <w:t>A felülvizsgálat a Kivitelező részéről biztosított „D”-terv (megvalósulási dokumentáció), illetőleg a geodéziai felmérés alapján történik.</w:t>
      </w:r>
      <w:r>
        <w:rPr/>
        <w:t xml:space="preserve"> A vizsgálat gerincét az alábbiak képezik:</w:t>
      </w:r>
    </w:p>
    <w:p>
      <w:pPr>
        <w:pStyle w:val="Normal"/>
        <w:numPr>
          <w:ilvl w:val="0"/>
          <w:numId w:val="36"/>
        </w:numPr>
        <w:rPr/>
      </w:pPr>
      <w:r>
        <w:rPr/>
        <w:t>A vonalas létesítmények és műtárgyak elhelyezésének horizontális és vertikális értelmű vizsgálata</w:t>
      </w:r>
    </w:p>
    <w:p>
      <w:pPr>
        <w:pStyle w:val="Normal"/>
        <w:numPr>
          <w:ilvl w:val="0"/>
          <w:numId w:val="36"/>
        </w:numPr>
        <w:rPr/>
      </w:pPr>
      <w:r>
        <w:rPr/>
        <w:t>Műtárgyak építészeti kialakítása megfelelőségének vizsgálata.</w:t>
      </w:r>
    </w:p>
    <w:p>
      <w:pPr>
        <w:pStyle w:val="Normal"/>
        <w:numPr>
          <w:ilvl w:val="0"/>
          <w:numId w:val="36"/>
        </w:numPr>
        <w:rPr/>
      </w:pPr>
      <w:r>
        <w:rPr/>
        <w:t>Szerelvények és gépészeti elemek beépítésének alkalmas kialakítása (átemelők, szerelvényaknák)</w:t>
      </w:r>
    </w:p>
    <w:p>
      <w:pPr>
        <w:pStyle w:val="Normal"/>
        <w:numPr>
          <w:ilvl w:val="0"/>
          <w:numId w:val="36"/>
        </w:numPr>
        <w:rPr/>
      </w:pPr>
      <w:r>
        <w:rPr/>
        <w:t>A vízzárósági vizsgálat és értékelés gravitációs hálózat esetén MSZ 10-311/86, a nyomáspróba és értékelés nyomóvezetéknél MSZ 2873-86 alapján történik (átemelők, hálózat). A vízzárósági próbát a hágcsóbevésés után kell elvégezni !</w:t>
      </w:r>
    </w:p>
    <w:p>
      <w:pPr>
        <w:pStyle w:val="Normal"/>
        <w:numPr>
          <w:ilvl w:val="0"/>
          <w:numId w:val="36"/>
        </w:numPr>
        <w:rPr/>
      </w:pPr>
      <w:r>
        <w:rPr/>
        <w:t>Üzembehelyezési eljárás a próbaüzemi eredmények értékelésével – próbaüzemi zárójelentésben.</w:t>
      </w:r>
    </w:p>
    <w:p>
      <w:pPr>
        <w:pStyle w:val="Normal"/>
        <w:rPr/>
      </w:pPr>
      <w:r>
        <w:rPr/>
        <w:t>A próbák és vizsgálatok részletes műszaki tartalma a következő:</w:t>
      </w:r>
    </w:p>
    <w:p>
      <w:pPr>
        <w:pStyle w:val="Cmsor3"/>
        <w:numPr>
          <w:ilvl w:val="2"/>
          <w:numId w:val="3"/>
        </w:numPr>
        <w:rPr/>
      </w:pPr>
      <w:bookmarkStart w:id="53" w:name="_Toc453756444"/>
      <w:bookmarkStart w:id="54" w:name="_Toc343773545"/>
      <w:bookmarkEnd w:id="53"/>
      <w:bookmarkEnd w:id="54"/>
      <w:r>
        <w:rPr/>
        <w:t>Nyíltárkos geodéziai bemérés</w:t>
      </w:r>
    </w:p>
    <w:p>
      <w:pPr>
        <w:pStyle w:val="Normal"/>
        <w:rPr/>
      </w:pPr>
      <w:r>
        <w:rPr/>
        <w:t>A hosszúságokat csomópontok közötti szakaszon cm-es, a magasságokat 1 mm pontossággal kell meghatározni. A mérettartással kapcsolatos beméréseket a kivitelezőnek eltakarás előtt kell folyamatosan mérni és dokumentálni a fentiek szerinti minősítéshez szükséges sűrűséggel és pontossággal.</w:t>
      </w:r>
    </w:p>
    <w:p>
      <w:pPr>
        <w:pStyle w:val="Normal"/>
        <w:rPr/>
      </w:pPr>
      <w:r>
        <w:rPr/>
        <w:t>A megvalósult közművekről nyíltárkos geodéziai bemérés alapján el kell készíteni a megvalósult állapot geodéziai műszaki dokumentációját (továbbiakban: bemérési vázrajz).</w:t>
      </w:r>
    </w:p>
    <w:p>
      <w:pPr>
        <w:pStyle w:val="Normal"/>
        <w:rPr/>
      </w:pPr>
      <w:r>
        <w:rPr/>
        <w:t>A bemérési vázrajz alapjául – amennyiben lehetséges – a szakági közmű alaptérkép szolgál.</w:t>
      </w:r>
    </w:p>
    <w:p>
      <w:pPr>
        <w:pStyle w:val="Normal"/>
        <w:rPr>
          <w:u w:val="single"/>
        </w:rPr>
      </w:pPr>
      <w:r>
        <w:rPr>
          <w:u w:val="single"/>
        </w:rPr>
        <w:t>A vázrajz tartalmazza:</w:t>
      </w:r>
    </w:p>
    <w:p>
      <w:pPr>
        <w:pStyle w:val="Normal"/>
        <w:numPr>
          <w:ilvl w:val="0"/>
          <w:numId w:val="37"/>
        </w:numPr>
        <w:tabs>
          <w:tab w:val="left" w:pos="1260" w:leader="none"/>
          <w:tab w:val="left" w:pos="2484" w:leader="none"/>
        </w:tabs>
        <w:rPr/>
      </w:pPr>
      <w:r>
        <w:rPr/>
        <w:t>az adott közmű által érintett és azzal határos földrészleteket,</w:t>
      </w:r>
    </w:p>
    <w:p>
      <w:pPr>
        <w:pStyle w:val="Normal"/>
        <w:numPr>
          <w:ilvl w:val="0"/>
          <w:numId w:val="37"/>
        </w:numPr>
        <w:tabs>
          <w:tab w:val="left" w:pos="1260" w:leader="none"/>
          <w:tab w:val="left" w:pos="2484" w:leader="none"/>
        </w:tabs>
        <w:rPr/>
      </w:pPr>
      <w:r>
        <w:rPr/>
        <w:t>épületeket, építményeket,</w:t>
      </w:r>
    </w:p>
    <w:p>
      <w:pPr>
        <w:pStyle w:val="Normal"/>
        <w:numPr>
          <w:ilvl w:val="0"/>
          <w:numId w:val="37"/>
        </w:numPr>
        <w:tabs>
          <w:tab w:val="left" w:pos="1260" w:leader="none"/>
          <w:tab w:val="left" w:pos="2484" w:leader="none"/>
        </w:tabs>
        <w:rPr/>
      </w:pPr>
      <w:r>
        <w:rPr/>
        <w:t>feltárt egyéb közműveket</w:t>
      </w:r>
    </w:p>
    <w:p>
      <w:pPr>
        <w:pStyle w:val="Normal"/>
        <w:numPr>
          <w:ilvl w:val="0"/>
          <w:numId w:val="37"/>
        </w:numPr>
        <w:tabs>
          <w:tab w:val="left" w:pos="1260" w:leader="none"/>
          <w:tab w:val="left" w:pos="2484" w:leader="none"/>
        </w:tabs>
        <w:rPr/>
      </w:pPr>
      <w:r>
        <w:rPr/>
        <w:t>jogi és természetbeni határokat,</w:t>
      </w:r>
    </w:p>
    <w:p>
      <w:pPr>
        <w:pStyle w:val="Normal"/>
        <w:numPr>
          <w:ilvl w:val="0"/>
          <w:numId w:val="37"/>
        </w:numPr>
        <w:tabs>
          <w:tab w:val="left" w:pos="1260" w:leader="none"/>
          <w:tab w:val="left" w:pos="2484" w:leader="none"/>
        </w:tabs>
        <w:rPr/>
      </w:pPr>
      <w:r>
        <w:rPr/>
        <w:t>utca neveket, helyrajzi számot, házszámot,</w:t>
      </w:r>
    </w:p>
    <w:p>
      <w:pPr>
        <w:pStyle w:val="Normal"/>
        <w:numPr>
          <w:ilvl w:val="0"/>
          <w:numId w:val="37"/>
        </w:numPr>
        <w:tabs>
          <w:tab w:val="left" w:pos="1260" w:leader="none"/>
          <w:tab w:val="left" w:pos="2484" w:leader="none"/>
        </w:tabs>
        <w:rPr/>
      </w:pPr>
      <w:r>
        <w:rPr/>
        <w:t>vezeték nyomvonalát,</w:t>
      </w:r>
    </w:p>
    <w:p>
      <w:pPr>
        <w:pStyle w:val="Normal"/>
        <w:numPr>
          <w:ilvl w:val="0"/>
          <w:numId w:val="37"/>
        </w:numPr>
        <w:tabs>
          <w:tab w:val="left" w:pos="1260" w:leader="none"/>
          <w:tab w:val="left" w:pos="2484" w:leader="none"/>
        </w:tabs>
        <w:rPr/>
      </w:pPr>
      <w:r>
        <w:rPr/>
        <w:t>derékszögű koordináta mérés adatait,</w:t>
      </w:r>
    </w:p>
    <w:p>
      <w:pPr>
        <w:pStyle w:val="Normal"/>
        <w:numPr>
          <w:ilvl w:val="0"/>
          <w:numId w:val="37"/>
        </w:numPr>
        <w:tabs>
          <w:tab w:val="left" w:pos="1260" w:leader="none"/>
          <w:tab w:val="left" w:pos="2484" w:leader="none"/>
        </w:tabs>
        <w:rPr/>
      </w:pPr>
      <w:r>
        <w:rPr/>
        <w:t>numerikus bemérés esetén</w:t>
      </w:r>
    </w:p>
    <w:p>
      <w:pPr>
        <w:pStyle w:val="Normal"/>
        <w:numPr>
          <w:ilvl w:val="1"/>
          <w:numId w:val="37"/>
        </w:numPr>
        <w:tabs>
          <w:tab w:val="left" w:pos="3204" w:leader="none"/>
        </w:tabs>
        <w:rPr/>
      </w:pPr>
      <w:r>
        <w:rPr/>
        <w:t>pontszámokat,</w:t>
      </w:r>
    </w:p>
    <w:p>
      <w:pPr>
        <w:pStyle w:val="Normal"/>
        <w:numPr>
          <w:ilvl w:val="1"/>
          <w:numId w:val="37"/>
        </w:numPr>
        <w:tabs>
          <w:tab w:val="left" w:pos="3204" w:leader="none"/>
        </w:tabs>
        <w:rPr/>
      </w:pPr>
      <w:r>
        <w:rPr/>
        <w:t>EOV koordinátákat (esetleg külön koordináta jegyzékben)</w:t>
      </w:r>
    </w:p>
    <w:p>
      <w:pPr>
        <w:pStyle w:val="Normal"/>
        <w:numPr>
          <w:ilvl w:val="0"/>
          <w:numId w:val="37"/>
        </w:numPr>
        <w:tabs>
          <w:tab w:val="left" w:pos="1260" w:leader="none"/>
          <w:tab w:val="left" w:pos="2484" w:leader="none"/>
        </w:tabs>
        <w:rPr/>
      </w:pPr>
      <w:r>
        <w:rPr/>
        <w:t>csőanyagot</w:t>
      </w:r>
    </w:p>
    <w:p>
      <w:pPr>
        <w:pStyle w:val="Normal"/>
        <w:numPr>
          <w:ilvl w:val="0"/>
          <w:numId w:val="37"/>
        </w:numPr>
        <w:tabs>
          <w:tab w:val="left" w:pos="1260" w:leader="none"/>
          <w:tab w:val="left" w:pos="2484" w:leader="none"/>
        </w:tabs>
        <w:rPr/>
      </w:pPr>
      <w:r>
        <w:rPr/>
        <w:t xml:space="preserve">átmérőt, </w:t>
      </w:r>
    </w:p>
    <w:p>
      <w:pPr>
        <w:pStyle w:val="Normal"/>
        <w:numPr>
          <w:ilvl w:val="0"/>
          <w:numId w:val="37"/>
        </w:numPr>
        <w:tabs>
          <w:tab w:val="left" w:pos="1260" w:leader="none"/>
          <w:tab w:val="left" w:pos="2484" w:leader="none"/>
        </w:tabs>
        <w:rPr/>
      </w:pPr>
      <w:r>
        <w:rPr/>
        <w:t>lejtésirányt,</w:t>
      </w:r>
    </w:p>
    <w:p>
      <w:pPr>
        <w:pStyle w:val="Normal"/>
        <w:numPr>
          <w:ilvl w:val="0"/>
          <w:numId w:val="37"/>
        </w:numPr>
        <w:tabs>
          <w:tab w:val="left" w:pos="1260" w:leader="none"/>
          <w:tab w:val="left" w:pos="2484" w:leader="none"/>
        </w:tabs>
        <w:rPr/>
      </w:pPr>
      <w:r>
        <w:rPr/>
        <w:t>lejtés nagyságát,</w:t>
      </w:r>
    </w:p>
    <w:p>
      <w:pPr>
        <w:pStyle w:val="Normal"/>
        <w:numPr>
          <w:ilvl w:val="0"/>
          <w:numId w:val="37"/>
        </w:numPr>
        <w:tabs>
          <w:tab w:val="left" w:pos="1260" w:leader="none"/>
          <w:tab w:val="left" w:pos="2484" w:leader="none"/>
        </w:tabs>
        <w:rPr/>
      </w:pPr>
      <w:r>
        <w:rPr/>
        <w:t>magassági adatokat az ellenőrző aknáról, bekötővezetékről, bekötőaknáról és a tisztító idomról,</w:t>
      </w:r>
    </w:p>
    <w:p>
      <w:pPr>
        <w:pStyle w:val="Normal"/>
        <w:numPr>
          <w:ilvl w:val="0"/>
          <w:numId w:val="37"/>
        </w:numPr>
        <w:tabs>
          <w:tab w:val="left" w:pos="1260" w:leader="none"/>
          <w:tab w:val="left" w:pos="2484" w:leader="none"/>
        </w:tabs>
        <w:rPr/>
      </w:pPr>
      <w:r>
        <w:rPr/>
        <w:t>aknákat, szerelvényeket, azok típusát, méretét,</w:t>
      </w:r>
    </w:p>
    <w:p>
      <w:pPr>
        <w:pStyle w:val="Normal"/>
        <w:numPr>
          <w:ilvl w:val="0"/>
          <w:numId w:val="37"/>
        </w:numPr>
        <w:tabs>
          <w:tab w:val="left" w:pos="1260" w:leader="none"/>
          <w:tab w:val="left" w:pos="2484" w:leader="none"/>
        </w:tabs>
        <w:rPr/>
      </w:pPr>
      <w:r>
        <w:rPr/>
        <w:t>szerelvények egységes közmű jel kulcsait,</w:t>
      </w:r>
    </w:p>
    <w:p>
      <w:pPr>
        <w:pStyle w:val="Normal"/>
        <w:numPr>
          <w:ilvl w:val="0"/>
          <w:numId w:val="37"/>
        </w:numPr>
        <w:tabs>
          <w:tab w:val="left" w:pos="1260" w:leader="none"/>
          <w:tab w:val="left" w:pos="2484" w:leader="none"/>
        </w:tabs>
        <w:rPr/>
      </w:pPr>
      <w:r>
        <w:rPr/>
        <w:t>északi irányt,</w:t>
      </w:r>
    </w:p>
    <w:p>
      <w:pPr>
        <w:pStyle w:val="Normal"/>
        <w:numPr>
          <w:ilvl w:val="0"/>
          <w:numId w:val="37"/>
        </w:numPr>
        <w:tabs>
          <w:tab w:val="left" w:pos="1260" w:leader="none"/>
          <w:tab w:val="left" w:pos="2484" w:leader="none"/>
        </w:tabs>
        <w:rPr/>
      </w:pPr>
      <w:r>
        <w:rPr/>
        <w:t>méretarányt</w:t>
      </w:r>
    </w:p>
    <w:p>
      <w:pPr>
        <w:pStyle w:val="Normal"/>
        <w:numPr>
          <w:ilvl w:val="0"/>
          <w:numId w:val="37"/>
        </w:numPr>
        <w:tabs>
          <w:tab w:val="left" w:pos="1260" w:leader="none"/>
          <w:tab w:val="left" w:pos="2484" w:leader="none"/>
        </w:tabs>
        <w:rPr/>
      </w:pPr>
      <w:r>
        <w:rPr/>
        <w:t>tisztítóaknák közötti távolságot.</w:t>
      </w:r>
    </w:p>
    <w:p>
      <w:pPr>
        <w:pStyle w:val="Normal"/>
        <w:rPr/>
      </w:pPr>
      <w:r>
        <w:rPr/>
        <w:t xml:space="preserve">A vázrajz mellé csatolni kell egy </w:t>
      </w:r>
      <w:r>
        <w:rPr>
          <w:u w:val="single"/>
        </w:rPr>
        <w:t>bemérési jegyzőkönyvet</w:t>
      </w:r>
      <w:r>
        <w:rPr/>
        <w:t>, mely tartalmazza:</w:t>
      </w:r>
    </w:p>
    <w:p>
      <w:pPr>
        <w:pStyle w:val="Normal"/>
        <w:numPr>
          <w:ilvl w:val="0"/>
          <w:numId w:val="37"/>
        </w:numPr>
        <w:tabs>
          <w:tab w:val="left" w:pos="1260" w:leader="none"/>
          <w:tab w:val="left" w:pos="2484" w:leader="none"/>
        </w:tabs>
        <w:rPr/>
      </w:pPr>
      <w:r>
        <w:rPr/>
        <w:t>a beruházó adatait,</w:t>
      </w:r>
    </w:p>
    <w:p>
      <w:pPr>
        <w:pStyle w:val="Normal"/>
        <w:numPr>
          <w:ilvl w:val="0"/>
          <w:numId w:val="37"/>
        </w:numPr>
        <w:tabs>
          <w:tab w:val="left" w:pos="1260" w:leader="none"/>
          <w:tab w:val="left" w:pos="2484" w:leader="none"/>
        </w:tabs>
        <w:rPr/>
      </w:pPr>
      <w:r>
        <w:rPr/>
        <w:t>a kivitelező adatait,</w:t>
      </w:r>
    </w:p>
    <w:p>
      <w:pPr>
        <w:pStyle w:val="Normal"/>
        <w:numPr>
          <w:ilvl w:val="0"/>
          <w:numId w:val="37"/>
        </w:numPr>
        <w:tabs>
          <w:tab w:val="left" w:pos="1260" w:leader="none"/>
          <w:tab w:val="left" w:pos="2484" w:leader="none"/>
        </w:tabs>
        <w:rPr/>
      </w:pPr>
      <w:r>
        <w:rPr/>
        <w:t>az üzemeltető kilétét,</w:t>
      </w:r>
    </w:p>
    <w:p>
      <w:pPr>
        <w:pStyle w:val="Normal"/>
        <w:numPr>
          <w:ilvl w:val="0"/>
          <w:numId w:val="37"/>
        </w:numPr>
        <w:tabs>
          <w:tab w:val="left" w:pos="1260" w:leader="none"/>
          <w:tab w:val="left" w:pos="2484" w:leader="none"/>
        </w:tabs>
        <w:rPr/>
      </w:pPr>
      <w:r>
        <w:rPr/>
        <w:t>a bemérést végző szerv adatait,</w:t>
      </w:r>
    </w:p>
    <w:p>
      <w:pPr>
        <w:pStyle w:val="Normal"/>
        <w:numPr>
          <w:ilvl w:val="0"/>
          <w:numId w:val="37"/>
        </w:numPr>
        <w:tabs>
          <w:tab w:val="left" w:pos="1260" w:leader="none"/>
          <w:tab w:val="left" w:pos="2484" w:leader="none"/>
        </w:tabs>
        <w:rPr/>
      </w:pPr>
      <w:r>
        <w:rPr/>
        <w:t>a vezeték</w:t>
      </w:r>
    </w:p>
    <w:p>
      <w:pPr>
        <w:pStyle w:val="Normal"/>
        <w:numPr>
          <w:ilvl w:val="1"/>
          <w:numId w:val="37"/>
        </w:numPr>
        <w:tabs>
          <w:tab w:val="left" w:pos="2268" w:leader="none"/>
        </w:tabs>
        <w:rPr/>
      </w:pPr>
      <w:r>
        <w:rPr/>
        <w:t>anyagát (részletezve)</w:t>
      </w:r>
    </w:p>
    <w:p>
      <w:pPr>
        <w:pStyle w:val="Normal"/>
        <w:numPr>
          <w:ilvl w:val="1"/>
          <w:numId w:val="37"/>
        </w:numPr>
        <w:tabs>
          <w:tab w:val="left" w:pos="2268" w:leader="none"/>
        </w:tabs>
        <w:rPr/>
      </w:pPr>
      <w:r>
        <w:rPr/>
        <w:t>méretét (részletezve)</w:t>
      </w:r>
    </w:p>
    <w:p>
      <w:pPr>
        <w:pStyle w:val="Normal"/>
        <w:numPr>
          <w:ilvl w:val="1"/>
          <w:numId w:val="37"/>
        </w:numPr>
        <w:tabs>
          <w:tab w:val="left" w:pos="2268" w:leader="none"/>
        </w:tabs>
        <w:rPr/>
      </w:pPr>
      <w:r>
        <w:rPr/>
        <w:t>hosszát,</w:t>
      </w:r>
    </w:p>
    <w:p>
      <w:pPr>
        <w:pStyle w:val="Normal"/>
        <w:numPr>
          <w:ilvl w:val="1"/>
          <w:numId w:val="37"/>
        </w:numPr>
        <w:tabs>
          <w:tab w:val="left" w:pos="2268" w:leader="none"/>
        </w:tabs>
        <w:rPr/>
      </w:pPr>
      <w:r>
        <w:rPr/>
        <w:t>aknák számát típus szerint</w:t>
      </w:r>
    </w:p>
    <w:p>
      <w:pPr>
        <w:pStyle w:val="Normal"/>
        <w:numPr>
          <w:ilvl w:val="0"/>
          <w:numId w:val="37"/>
        </w:numPr>
        <w:tabs>
          <w:tab w:val="left" w:pos="1260" w:leader="none"/>
          <w:tab w:val="left" w:pos="2484" w:leader="none"/>
        </w:tabs>
        <w:rPr/>
      </w:pPr>
      <w:r>
        <w:rPr/>
        <w:t>készítés helyét,</w:t>
      </w:r>
    </w:p>
    <w:p>
      <w:pPr>
        <w:pStyle w:val="Normal"/>
        <w:numPr>
          <w:ilvl w:val="0"/>
          <w:numId w:val="37"/>
        </w:numPr>
        <w:tabs>
          <w:tab w:val="left" w:pos="1260" w:leader="none"/>
          <w:tab w:val="left" w:pos="2484" w:leader="none"/>
        </w:tabs>
        <w:rPr/>
      </w:pPr>
      <w:r>
        <w:rPr/>
        <w:t>dátumot,</w:t>
      </w:r>
    </w:p>
    <w:p>
      <w:pPr>
        <w:pStyle w:val="Normal"/>
        <w:numPr>
          <w:ilvl w:val="0"/>
          <w:numId w:val="37"/>
        </w:numPr>
        <w:tabs>
          <w:tab w:val="left" w:pos="1260" w:leader="none"/>
          <w:tab w:val="left" w:pos="2484" w:leader="none"/>
        </w:tabs>
        <w:rPr/>
      </w:pPr>
      <w:r>
        <w:rPr/>
        <w:t>bemérő aláírását,</w:t>
      </w:r>
    </w:p>
    <w:p>
      <w:pPr>
        <w:pStyle w:val="Normal"/>
        <w:numPr>
          <w:ilvl w:val="0"/>
          <w:numId w:val="37"/>
        </w:numPr>
        <w:tabs>
          <w:tab w:val="left" w:pos="1260" w:leader="none"/>
          <w:tab w:val="left" w:pos="2484" w:leader="none"/>
        </w:tabs>
        <w:rPr/>
      </w:pPr>
      <w:r>
        <w:rPr/>
        <w:t>átvevő aláírását,</w:t>
      </w:r>
    </w:p>
    <w:p>
      <w:pPr>
        <w:pStyle w:val="Normal"/>
        <w:numPr>
          <w:ilvl w:val="0"/>
          <w:numId w:val="37"/>
        </w:numPr>
        <w:tabs>
          <w:tab w:val="left" w:pos="1260" w:leader="none"/>
          <w:tab w:val="left" w:pos="2484" w:leader="none"/>
        </w:tabs>
        <w:rPr/>
      </w:pPr>
      <w:r>
        <w:rPr/>
        <w:t>másolatok számát.</w:t>
      </w:r>
    </w:p>
    <w:p>
      <w:pPr>
        <w:pStyle w:val="Cmsor3"/>
        <w:numPr>
          <w:ilvl w:val="2"/>
          <w:numId w:val="3"/>
        </w:numPr>
        <w:rPr/>
      </w:pPr>
      <w:bookmarkStart w:id="55" w:name="_Toc453756445"/>
      <w:bookmarkEnd w:id="55"/>
      <w:r>
        <w:rPr/>
        <w:t>Csatornák vízzárósági vizsgálata</w:t>
      </w:r>
    </w:p>
    <w:p>
      <w:pPr>
        <w:pStyle w:val="Szvegtrzs"/>
        <w:rPr/>
      </w:pPr>
      <w:r>
        <w:rPr/>
        <w:t>A csatornák vízzárósági vizsgálatát az "MSZ EN 1610:2016 Szennyvízelvezető vezetékek és csatornák fektetése és vizsgálata " szabvány szerint kell elvégezni. A vizsgált csatornaszakaszokat vízzel fel kell tölteni. Miután a vizsgált szakaszon lévő betonaknák telítődtek vízzel, a csatornát legalább 2 órán át, 2 m-es vízoszlopnyomás alatt kell tartani. A 2,0 m a csőtetőtől számítandó. Ezen idő alatt vízelfolyás nem engedhető meg.</w:t>
      </w:r>
    </w:p>
    <w:p>
      <w:pPr>
        <w:pStyle w:val="Szvegtrzs"/>
        <w:rPr/>
      </w:pPr>
      <w:r>
        <w:rPr/>
        <w:t>A vízjogi létesítési engedélyben a hatóság próbaüzemet nem írt elő.</w:t>
      </w:r>
    </w:p>
    <w:p>
      <w:pPr>
        <w:pStyle w:val="Szvegtrzs"/>
        <w:rPr/>
      </w:pPr>
      <w:r>
        <w:rPr/>
        <w:t xml:space="preserve">A létesítmény teljes műszaki megvalósulását követően, </w:t>
      </w:r>
      <w:r>
        <w:rPr>
          <w:i/>
        </w:rPr>
        <w:t xml:space="preserve">az építőipari kivitelezési tevékenységről </w:t>
      </w:r>
      <w:r>
        <w:rPr/>
        <w:t>szóló 191/2009. (IX. 15.) Korm. rendelet előírásai szerint meg kell tartani a műszaki átadást. Erre minden érintett hatóságot, Megrendelőt és üzemeltetőt is meg kell hívni. Amennyiben minden fél elfogadja a megvalósulást, megtörténhet a műszaki átadás.</w:t>
      </w:r>
    </w:p>
    <w:p>
      <w:pPr>
        <w:pStyle w:val="Szvegtrzs"/>
        <w:rPr/>
      </w:pPr>
      <w:r>
        <w:rPr/>
        <w:t>A jótállási időszak a végleges műszaki átadás-átvétel igazolás kiadásának napjától kezdődik. A jótállási és szavatossági igényeket a Megrendelő érvényesíti a mindenkori üzemeltető közreműködésével.</w:t>
      </w:r>
    </w:p>
    <w:p>
      <w:pPr>
        <w:pStyle w:val="Cmsor3"/>
        <w:numPr>
          <w:ilvl w:val="2"/>
          <w:numId w:val="3"/>
        </w:numPr>
        <w:rPr/>
      </w:pPr>
      <w:bookmarkStart w:id="56" w:name="_Toc453756446"/>
      <w:bookmarkEnd w:id="56"/>
      <w:r>
        <w:rPr/>
        <w:t>Csatornák kamerás vizsgálata</w:t>
      </w:r>
    </w:p>
    <w:p>
      <w:pPr>
        <w:pStyle w:val="Szvegtrzs"/>
        <w:rPr/>
      </w:pPr>
      <w:r>
        <w:rPr/>
        <w:t xml:space="preserve">Építés után a kamerás csatornavizsgálat színes csatornavizsgáló berendezéssel, lejtmérésre is alkalmas önjáró ipari kivitelű, lézeres csőkalibráló berendezéssel kiegészített csatornakamerával kell végrehajtani. A vizsgálati eredményeket digitális CD/DVD adathordozóra rögzített videó felvétellel, kiértékelő dokumentációval (szöveges értékelés, ovalitásmérés, lejtésdiagram, mérési jegyzőkönyv) a kivitelezésre kerülő szennyvízcsatorna hálózat teljes hosszában az MSZ EN 13508-2:2003+A1:2012 „Épületeken kívüli vízelvezetési és csatornázási rendszerek vizsgálata és értékelése ” című szabványnak megfelelően kell elkészíteni. </w:t>
      </w:r>
    </w:p>
    <w:p>
      <w:pPr>
        <w:pStyle w:val="Cmsor1"/>
        <w:numPr>
          <w:ilvl w:val="0"/>
          <w:numId w:val="3"/>
        </w:numPr>
        <w:ind w:left="431" w:hanging="431"/>
        <w:rPr/>
      </w:pPr>
      <w:bookmarkStart w:id="57" w:name="_Toc453756447"/>
      <w:bookmarkStart w:id="58" w:name="_Toc331982000"/>
      <w:bookmarkEnd w:id="57"/>
      <w:bookmarkEnd w:id="58"/>
      <w:r>
        <w:rPr/>
        <w:t>Garancia</w:t>
      </w:r>
    </w:p>
    <w:p>
      <w:pPr>
        <w:pStyle w:val="Szvegtrzs"/>
        <w:rPr/>
      </w:pPr>
      <w:r>
        <w:rPr/>
        <w:t>Valamennyi létesítmény minden részére teljes körűen és egységesen kiterjedő garanciális, szavatossági és jótállási idő kezdete a csatornahálózat műszaki átadás–átvételét lezáró nap. A teljesítési igazolás a műszaki átadás–átvételét lezárásával jár a Vállalkozónak, amit a Műszaki ellenőr állít ki.</w:t>
      </w:r>
    </w:p>
    <w:p>
      <w:pPr>
        <w:pStyle w:val="Szvegtrzs"/>
        <w:rPr/>
      </w:pPr>
      <w:r>
        <w:rPr/>
        <w:t xml:space="preserve">Vállalkozónak a házi szennyvíz beemelő készülékek kivételével öt év teljes körű jótállást kell vállalnia az általa készített létesítményre. A házi beemelő készülékekre Vállalkozónak minimálisan kettő év teljes körű garanciát kell vállalnia. </w:t>
      </w:r>
    </w:p>
    <w:p>
      <w:pPr>
        <w:pStyle w:val="Szvegtrzs"/>
        <w:rPr/>
      </w:pPr>
      <w:r>
        <w:rPr/>
        <w:t>A közterületi nyomvonal helyreállítására (süllyedések, kimosódások) Vállalkozónak öt év teljes körű jótállást kell vállalnia. A nyomvonal ellenőrzésére a műszaki átadás lezárását követően évente a Műszaki ellenőr bejárást hív össze. Vállalkozó köteles a bejáráson megjelenni és az ott rögzített hibákat, hiányosságokat 5 munkanapon belül javítani.</w:t>
      </w:r>
    </w:p>
    <w:p>
      <w:pPr>
        <w:pStyle w:val="Szvegtrzs"/>
        <w:rPr/>
      </w:pPr>
      <w:r>
        <w:rPr>
          <w:iCs/>
          <w:szCs w:val="24"/>
        </w:rPr>
        <w:t>A jelen szerződés tárgyát képező építmény kötelező alkalmassági ideje a 12/1988. (XII. 27.) ÉVM-IpM-KM-MÉM-KVM sz. együttes rendelet 1.sz. mellékletének 4.4. pontja alapján 10 év.</w:t>
      </w:r>
    </w:p>
    <w:p>
      <w:pPr>
        <w:pStyle w:val="Szvegtrzs"/>
        <w:rPr/>
      </w:pPr>
      <w:r>
        <w:rPr/>
        <w:t>Vállalkozó az ajánlatában vállalt garanciális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kijavításának megkezdéséről az értesítés kézhezvételétől számított 5 munkanapon belül köteles gondoskodni.</w:t>
      </w:r>
    </w:p>
    <w:p>
      <w:pPr>
        <w:pStyle w:val="Szvegtrzs"/>
        <w:rPr/>
      </w:pPr>
      <w:r>
        <w:rPr/>
        <w:t>Amennyiben Vállalkozó a garanciális időszak alatt jelentkező garanciális hiányosságok javítását a kívánt határidőre nem végzi el, úgy Megrendelő jogosult ezen garanciális hiányosságokat és az ezzel kapcsolatos javítási munkákat a garanciális biztosíték terhére más vállalkozóval megszüntetni, illetve elvégeztetni.</w:t>
      </w:r>
    </w:p>
    <w:p>
      <w:pPr>
        <w:pStyle w:val="Cm"/>
        <w:numPr>
          <w:ilvl w:val="0"/>
          <w:numId w:val="5"/>
        </w:numPr>
        <w:rPr/>
      </w:pPr>
      <w:bookmarkStart w:id="59" w:name="_Toc453756448"/>
      <w:r>
        <w:rPr/>
        <w:t>FEJEZET: JOGSZABÁLYOK, SZABVÁNYOK, ELŐÍRÁSOK</w:t>
      </w:r>
      <w:bookmarkEnd w:id="59"/>
      <w:r>
        <w:rPr/>
        <w:t xml:space="preserve"> </w:t>
      </w:r>
    </w:p>
    <w:p>
      <w:pPr>
        <w:pStyle w:val="Szvegtrzs"/>
        <w:rPr/>
      </w:pPr>
      <w:r>
        <w:rPr/>
        <w:t>A tervezés és kivitelezés során a Vállalkozó köteles szigorúan betartani mindazon jogszabályokat, törvényi előírásokat</w:t>
      </w:r>
      <w:r>
        <w:rPr>
          <w:spacing w:val="-4"/>
        </w:rPr>
        <w:t xml:space="preserve">, rendeleteket, szabványokat, műszaki útmutatókat és ajánlásokat melyekre jelen </w:t>
      </w:r>
      <w:r>
        <w:rPr/>
        <w:t xml:space="preserve">Követelmények hivatkoznak. Mindazonáltal azok a szabványok, amelyeket figyelembe kell venni, nem </w:t>
      </w:r>
      <w:r>
        <w:rPr>
          <w:spacing w:val="4"/>
        </w:rPr>
        <w:t xml:space="preserve">korlátozódnak a jelen Követelményekben jelzett szabványokra, a tervezés és a kivitelezés </w:t>
      </w:r>
      <w:r>
        <w:rPr/>
        <w:t xml:space="preserve">során az összes érvényes európai és magyar szabvány előírásait figyelembe kell venni. Ha a Követelmények másként nem rendelkeznek, minden munkavégzést, technológiai műveletet, </w:t>
      </w:r>
      <w:r>
        <w:rPr>
          <w:spacing w:val="-2"/>
        </w:rPr>
        <w:t xml:space="preserve">eszköz és anyagfelhasználást jelen Követelményekben és a legutolsó érvényes magyar illetve európai szabványokkal összhangban kell végezni. Az alkalmazandó szabványok mindazok, </w:t>
      </w:r>
      <w:r>
        <w:rPr/>
        <w:t>amelyek az ajánlati felhívás közzétételének napján érvényben voltak. Abban az esetben, ha a jelen Követelményekben és a vonatkozó Szabványokban megfogalmazottakban eltérés mutatkozik, úgy a magasabb minőségi szintet meghatározó előírást kell alkalmazni.</w:t>
      </w:r>
    </w:p>
    <w:p>
      <w:pPr>
        <w:pStyle w:val="Szvegtrzs"/>
        <w:rPr/>
      </w:pPr>
      <w:r>
        <w:rPr>
          <w:spacing w:val="-2"/>
        </w:rPr>
        <w:t xml:space="preserve">Mindazon anyagok és munkák esetében melyekre nincs alkalmazható európai vagy magyar </w:t>
      </w:r>
      <w:r>
        <w:rPr/>
        <w:t xml:space="preserve">szabvány vagy egyéb előírás a Vállalkozó Ajánlatában és a Kiviteli tervekben köteles </w:t>
      </w:r>
      <w:r>
        <w:rPr>
          <w:spacing w:val="-4"/>
        </w:rPr>
        <w:t xml:space="preserve">bizonyítani, hogy a kérdéses anyag, szerkezet, eszköz vagy technológia megfelel a Megrendelő </w:t>
      </w:r>
      <w:r>
        <w:rPr/>
        <w:t xml:space="preserve">Követelményeiben megfogalmazott előírásoknak. </w:t>
      </w:r>
    </w:p>
    <w:p>
      <w:pPr>
        <w:pStyle w:val="Szvegtrzs"/>
        <w:rPr/>
      </w:pPr>
      <w:r>
        <w:rPr>
          <w:spacing w:val="10"/>
        </w:rPr>
        <w:t>Az említésre kerülő szabványok mellett figyelembe kell venni az Üzemeltető</w:t>
      </w:r>
      <w:r>
        <w:rPr>
          <w:spacing w:val="-2"/>
        </w:rPr>
        <w:t xml:space="preserve"> irányelveit is. Az Ajánlatkérő figyelmet kell, hogy fordítson </w:t>
      </w:r>
      <w:r>
        <w:rPr>
          <w:i/>
          <w:spacing w:val="-2"/>
        </w:rPr>
        <w:t>a Vízügyi Biztonsági Szabályzat kiadásáról</w:t>
      </w:r>
      <w:r>
        <w:rPr>
          <w:spacing w:val="-2"/>
        </w:rPr>
        <w:t xml:space="preserve"> szóló 24/2007 (VII.3.) KvVM rendelet vonatkozó részeinek betartásra. </w:t>
      </w:r>
    </w:p>
    <w:p>
      <w:pPr>
        <w:pStyle w:val="Normal"/>
        <w:rPr>
          <w:b/>
          <w:b/>
          <w:u w:val="single"/>
        </w:rPr>
      </w:pPr>
      <w:r>
        <w:rPr>
          <w:b/>
          <w:u w:val="single"/>
        </w:rPr>
        <w:t>Általános előírások a megvalósítás során alkalmazandó szabványok vonatkozásában:</w:t>
      </w:r>
    </w:p>
    <w:p>
      <w:pPr>
        <w:pStyle w:val="Normal"/>
        <w:rPr/>
      </w:pPr>
      <w:r>
        <w:rPr/>
        <w:t>A kivitelező köteles a munkaterület kialakítása, az ideiglenes melléképítmények elhelyezése, a kivitelezés (építési eljárás, technológia, minőségbiztosítás, stb.), valamint a vizsgálat (mintavételezés, minősítés) során a közösségi joggal összeegyeztethető kötelező műszaki szabályok sérelme nélkül</w:t>
      </w:r>
    </w:p>
    <w:p>
      <w:pPr>
        <w:pStyle w:val="Normal"/>
        <w:numPr>
          <w:ilvl w:val="0"/>
          <w:numId w:val="22"/>
        </w:numPr>
        <w:rPr/>
      </w:pPr>
      <w:r>
        <w:rPr/>
        <w:t>a nemzetközi szabványokat közzétevő nemzeti szabványok,</w:t>
      </w:r>
    </w:p>
    <w:p>
      <w:pPr>
        <w:pStyle w:val="Normal"/>
        <w:numPr>
          <w:ilvl w:val="0"/>
          <w:numId w:val="22"/>
        </w:numPr>
        <w:rPr/>
      </w:pPr>
      <w:r>
        <w:rPr/>
        <w:t>egyéb nemzeti szabványok és nemzeti műszaki tanúsítványok,</w:t>
      </w:r>
    </w:p>
    <w:p>
      <w:pPr>
        <w:pStyle w:val="Normal"/>
        <w:numPr>
          <w:ilvl w:val="0"/>
          <w:numId w:val="22"/>
        </w:numPr>
        <w:rPr/>
      </w:pPr>
      <w:r>
        <w:rPr/>
        <w:t xml:space="preserve">bármely egyéb szabvány </w:t>
      </w:r>
    </w:p>
    <w:p>
      <w:pPr>
        <w:pStyle w:val="Normal"/>
        <w:numPr>
          <w:ilvl w:val="0"/>
          <w:numId w:val="22"/>
        </w:numPr>
        <w:rPr/>
      </w:pPr>
      <w:r>
        <w:rPr/>
        <w:t>figyelembe vételével eljárni.</w:t>
      </w:r>
    </w:p>
    <w:p>
      <w:pPr>
        <w:pStyle w:val="Normal"/>
        <w:rPr/>
      </w:pPr>
      <w:r>
        <w:rPr/>
      </w:r>
    </w:p>
    <w:p>
      <w:pPr>
        <w:pStyle w:val="Normal"/>
        <w:rPr/>
      </w:pPr>
      <w:r>
        <w:rPr/>
      </w:r>
      <w:r>
        <w:br w:type="page"/>
      </w:r>
    </w:p>
    <w:p>
      <w:pPr>
        <w:pStyle w:val="Cm"/>
        <w:numPr>
          <w:ilvl w:val="0"/>
          <w:numId w:val="5"/>
        </w:numPr>
        <w:rPr/>
      </w:pPr>
      <w:bookmarkStart w:id="60" w:name="_Toc453756449"/>
      <w:bookmarkEnd w:id="60"/>
      <w:r>
        <w:rPr/>
        <w:t>FEJEZET: SZENNYVÍZCSATORNA HÁLÓZAT MEGRENDELŐI MŰSZAKI KÖVETELMÉNYEI</w:t>
      </w:r>
    </w:p>
    <w:p>
      <w:pPr>
        <w:pStyle w:val="Cmsor1"/>
        <w:numPr>
          <w:ilvl w:val="0"/>
          <w:numId w:val="23"/>
        </w:numPr>
        <w:rPr/>
      </w:pPr>
      <w:bookmarkStart w:id="61" w:name="_Toc453756450"/>
      <w:bookmarkEnd w:id="61"/>
      <w:r>
        <w:rPr>
          <w:caps w:val="false"/>
          <w:smallCaps w:val="false"/>
        </w:rPr>
        <w:t>Irtási munkák</w:t>
      </w:r>
    </w:p>
    <w:p>
      <w:pPr>
        <w:pStyle w:val="Szvegtrzs"/>
        <w:rPr>
          <w:rFonts w:eastAsia="Times New Roman"/>
          <w:szCs w:val="24"/>
        </w:rPr>
      </w:pPr>
      <w:r>
        <w:rPr>
          <w:rFonts w:eastAsia="Times New Roman"/>
          <w:szCs w:val="24"/>
        </w:rPr>
        <w:t xml:space="preserve">A Vállalkozó feladatát képezi a munkaterület megtisztítása a munkát akadályozó növényzettől (fakivágás, tuskózás, bozótirtás, gyepfeltörés) a zöldterületek, fák védelmére vonatkozó helyi és országos hatósági és jogszabályi előírások betartásával, a szükséges engedélyek megszerzésével, az ehhez szükséges tervek és szakvélemények elkészítésével. </w:t>
      </w:r>
    </w:p>
    <w:p>
      <w:pPr>
        <w:pStyle w:val="Cmsor2"/>
        <w:numPr>
          <w:ilvl w:val="1"/>
          <w:numId w:val="3"/>
        </w:numPr>
        <w:rPr/>
      </w:pPr>
      <w:bookmarkStart w:id="62" w:name="_Toc453756451"/>
      <w:bookmarkEnd w:id="62"/>
      <w:r>
        <w:rPr/>
        <w:t>Irtási munkák határa</w:t>
      </w:r>
    </w:p>
    <w:p>
      <w:pPr>
        <w:pStyle w:val="Szvegtrzs"/>
        <w:rPr>
          <w:rFonts w:eastAsia="Times New Roman"/>
          <w:szCs w:val="24"/>
        </w:rPr>
      </w:pPr>
      <w:r>
        <w:rPr>
          <w:rFonts w:eastAsia="Times New Roman"/>
          <w:szCs w:val="24"/>
        </w:rPr>
        <w:t>A különböző irtási munkák határát az építési munkák elvégzésére szolgáló munkaterület határain belül kell kijelölni.</w:t>
      </w:r>
    </w:p>
    <w:p>
      <w:pPr>
        <w:pStyle w:val="Szvegtrzs"/>
        <w:rPr>
          <w:rFonts w:eastAsia="Times New Roman"/>
          <w:szCs w:val="24"/>
        </w:rPr>
      </w:pPr>
      <w:r>
        <w:rPr>
          <w:rFonts w:eastAsia="Times New Roman"/>
          <w:szCs w:val="24"/>
        </w:rPr>
        <w:t>Az irtási munkákat olyan mértékig és kiterjedésben kell elvégezni, amely feltétlenül szükséges az alábbi feltételek teljesüléséhez:</w:t>
      </w:r>
    </w:p>
    <w:p>
      <w:pPr>
        <w:pStyle w:val="Szvegtrzs"/>
        <w:numPr>
          <w:ilvl w:val="1"/>
          <w:numId w:val="30"/>
        </w:numPr>
        <w:spacing w:before="0" w:after="0"/>
        <w:rPr>
          <w:rFonts w:eastAsia="Times New Roman"/>
          <w:szCs w:val="24"/>
        </w:rPr>
      </w:pPr>
      <w:r>
        <w:rPr>
          <w:rFonts w:eastAsia="Times New Roman"/>
          <w:szCs w:val="24"/>
        </w:rPr>
        <w:t>a tervezési (elő) munkálatok elvégzése,</w:t>
      </w:r>
    </w:p>
    <w:p>
      <w:pPr>
        <w:pStyle w:val="Szvegtrzs"/>
        <w:numPr>
          <w:ilvl w:val="1"/>
          <w:numId w:val="30"/>
        </w:numPr>
        <w:spacing w:before="0" w:after="0"/>
        <w:rPr>
          <w:rFonts w:eastAsia="Times New Roman"/>
          <w:szCs w:val="24"/>
        </w:rPr>
      </w:pPr>
      <w:r>
        <w:rPr>
          <w:rFonts w:eastAsia="Times New Roman"/>
          <w:szCs w:val="24"/>
        </w:rPr>
        <w:t xml:space="preserve">a létesítmény megközelítése, az építési-kivitelezési munkák biztonságos elvégzése, </w:t>
      </w:r>
    </w:p>
    <w:p>
      <w:pPr>
        <w:pStyle w:val="Szvegtrzs"/>
        <w:numPr>
          <w:ilvl w:val="1"/>
          <w:numId w:val="30"/>
        </w:numPr>
        <w:spacing w:before="0" w:after="0"/>
        <w:rPr>
          <w:rFonts w:eastAsia="Times New Roman"/>
          <w:szCs w:val="24"/>
        </w:rPr>
      </w:pPr>
      <w:r>
        <w:rPr>
          <w:rFonts w:eastAsia="Times New Roman"/>
          <w:szCs w:val="24"/>
        </w:rPr>
        <w:t>a létesítmény tervezett műszaki jellemzőinek tartós fenntartásához szükséges veszélyeztetésének kizárása</w:t>
      </w:r>
    </w:p>
    <w:p>
      <w:pPr>
        <w:pStyle w:val="Szvegtrzs"/>
        <w:numPr>
          <w:ilvl w:val="1"/>
          <w:numId w:val="30"/>
        </w:numPr>
        <w:spacing w:before="0" w:after="0"/>
        <w:rPr>
          <w:rFonts w:eastAsia="Times New Roman"/>
          <w:szCs w:val="24"/>
        </w:rPr>
      </w:pPr>
      <w:r>
        <w:rPr>
          <w:rFonts w:eastAsia="Times New Roman"/>
          <w:szCs w:val="24"/>
        </w:rPr>
        <w:t>a létesítmények utógondozásának biztosítása,</w:t>
      </w:r>
    </w:p>
    <w:p>
      <w:pPr>
        <w:pStyle w:val="Szvegtrzs"/>
        <w:numPr>
          <w:ilvl w:val="1"/>
          <w:numId w:val="30"/>
        </w:numPr>
        <w:spacing w:before="0" w:after="0"/>
        <w:rPr>
          <w:rFonts w:eastAsia="Times New Roman"/>
          <w:szCs w:val="24"/>
        </w:rPr>
      </w:pPr>
      <w:r>
        <w:rPr>
          <w:rFonts w:eastAsia="Times New Roman"/>
          <w:szCs w:val="24"/>
        </w:rPr>
        <w:t>az egyedileg, létesítményeként meghatározott irtási munkák</w:t>
      </w:r>
    </w:p>
    <w:p>
      <w:pPr>
        <w:pStyle w:val="Szvegtrzs"/>
        <w:rPr>
          <w:rFonts w:eastAsia="Times New Roman"/>
          <w:szCs w:val="24"/>
        </w:rPr>
      </w:pPr>
      <w:r>
        <w:rPr>
          <w:rFonts w:eastAsia="Times New Roman"/>
          <w:szCs w:val="24"/>
        </w:rPr>
        <w:t xml:space="preserve">Az irtásokat olyan módszerrel és mélységig kell elvégezni, amely biztosan megakadályozza a tervezett létesítmény műszaki jellemzőit károsító, veszélyeztető, vagy az építési munkát akadályozó újrasarjadást. </w:t>
      </w:r>
    </w:p>
    <w:p>
      <w:pPr>
        <w:pStyle w:val="Szvegtrzs"/>
        <w:rPr>
          <w:rFonts w:eastAsia="Times New Roman"/>
          <w:szCs w:val="24"/>
        </w:rPr>
      </w:pPr>
      <w:r>
        <w:rPr>
          <w:rFonts w:eastAsia="Times New Roman"/>
          <w:szCs w:val="24"/>
        </w:rPr>
        <w:t>Az irtások során a fakitermelésen és bozótirtáson túlmenően a növényi részeket a talajból el kell távolítani tuskózással, gyökérfésűzés alkalmazásával, szükség esetén egyéb módon. A tuskókat fúrásos-aprításos technológiával kell megsemmisíteni.</w:t>
      </w:r>
    </w:p>
    <w:p>
      <w:pPr>
        <w:pStyle w:val="Cmsor2"/>
        <w:numPr>
          <w:ilvl w:val="1"/>
          <w:numId w:val="3"/>
        </w:numPr>
        <w:rPr/>
      </w:pPr>
      <w:bookmarkStart w:id="63" w:name="_Toc453756452"/>
      <w:bookmarkEnd w:id="63"/>
      <w:r>
        <w:rPr/>
        <w:t>Fakivágás engedélyezése</w:t>
      </w:r>
    </w:p>
    <w:p>
      <w:pPr>
        <w:pStyle w:val="Szvegtrzs"/>
        <w:rPr>
          <w:rFonts w:eastAsia="Times New Roman"/>
          <w:szCs w:val="24"/>
        </w:rPr>
      </w:pPr>
      <w:r>
        <w:rPr>
          <w:rFonts w:eastAsia="Times New Roman"/>
          <w:szCs w:val="24"/>
        </w:rPr>
        <w:t xml:space="preserve">A Vállalkozó feladata a fakivágásokhoz szükséges engedélyek megszerzése, az ehhez szükséges dokumentáció összeállítása, felmérési, tervezési munka elvégzése. </w:t>
      </w:r>
    </w:p>
    <w:p>
      <w:pPr>
        <w:pStyle w:val="Szvegtrzs"/>
        <w:rPr>
          <w:rFonts w:eastAsia="Times New Roman"/>
          <w:szCs w:val="24"/>
        </w:rPr>
      </w:pPr>
      <w:r>
        <w:rPr>
          <w:rFonts w:eastAsia="Times New Roman"/>
          <w:szCs w:val="24"/>
        </w:rPr>
        <w:t xml:space="preserve">A Vállalkozó vágással, irtással kapcsolatos bejelentési és engedélyezési kötelezettségeit az alábbi jogszabály szabályozza. </w:t>
      </w:r>
    </w:p>
    <w:p>
      <w:pPr>
        <w:pStyle w:val="Szvegtrzs"/>
        <w:rPr>
          <w:rFonts w:eastAsia="Times New Roman"/>
          <w:szCs w:val="24"/>
        </w:rPr>
      </w:pPr>
      <w:r>
        <w:rPr>
          <w:rFonts w:eastAsia="Times New Roman"/>
          <w:szCs w:val="24"/>
        </w:rPr>
        <w:t xml:space="preserve">Közterületen (belterületen) a fás szárú növények védelméről szóló 346/2008. (XII.30.) sz. Kormányrendelet rendelkezései alapján közterületi vágás engedélyezése a jegyző hatáskörébe tartozik. </w:t>
      </w:r>
    </w:p>
    <w:p>
      <w:pPr>
        <w:pStyle w:val="Szvegtrzs"/>
        <w:rPr>
          <w:rFonts w:eastAsia="Times New Roman"/>
          <w:szCs w:val="24"/>
        </w:rPr>
      </w:pPr>
      <w:r>
        <w:rPr>
          <w:rFonts w:eastAsia="Times New Roman"/>
          <w:szCs w:val="24"/>
        </w:rPr>
        <w:t>A Vállalkozó csak a megfelelő hatósági, illetve kezelői engedély/hozzájárulás birtokában kezdheti meg a munkát.</w:t>
      </w:r>
    </w:p>
    <w:p>
      <w:pPr>
        <w:pStyle w:val="Szvegtrzs"/>
        <w:rPr>
          <w:rFonts w:eastAsia="Times New Roman"/>
          <w:szCs w:val="24"/>
        </w:rPr>
      </w:pPr>
      <w:r>
        <w:rPr>
          <w:rFonts w:eastAsia="Times New Roman"/>
          <w:szCs w:val="24"/>
        </w:rPr>
        <w:t xml:space="preserve">A kivágott, vagy más módon irtott növényzet elszállításáról, vagy hasznosításáról 0,12 m törzsátmérőig a vonatkozó rendelkezések betartása mellett a Vállalkozó dönt. </w:t>
      </w:r>
    </w:p>
    <w:p>
      <w:pPr>
        <w:pStyle w:val="Szvegtrzs"/>
        <w:rPr>
          <w:rFonts w:eastAsia="Times New Roman"/>
          <w:szCs w:val="24"/>
        </w:rPr>
      </w:pPr>
      <w:r>
        <w:rPr>
          <w:rFonts w:eastAsia="Times New Roman"/>
          <w:szCs w:val="24"/>
        </w:rPr>
        <w:t xml:space="preserve">A 0,12 m törzsátmérő feletti közterületi fák esetén kivágást követően azt a VÜSZI Kft-vel egyeztetett méretre kell vágni, gallyazni és deponálni kell a helyszínen, a Kft. intézkedik a faanyag elszállításáról. </w:t>
      </w:r>
    </w:p>
    <w:p>
      <w:pPr>
        <w:pStyle w:val="Cmsor1"/>
        <w:numPr>
          <w:ilvl w:val="0"/>
          <w:numId w:val="3"/>
        </w:numPr>
        <w:ind w:left="431" w:hanging="431"/>
        <w:rPr/>
      </w:pPr>
      <w:bookmarkStart w:id="64" w:name="_Toc453756453"/>
      <w:bookmarkStart w:id="65" w:name="_Toc343773415"/>
      <w:bookmarkEnd w:id="64"/>
      <w:bookmarkEnd w:id="65"/>
      <w:r>
        <w:rPr>
          <w:caps w:val="false"/>
          <w:smallCaps w:val="false"/>
        </w:rPr>
        <w:t>Földmunkák, víztelenítés</w:t>
      </w:r>
    </w:p>
    <w:p>
      <w:pPr>
        <w:pStyle w:val="Szvegtrzs"/>
        <w:rPr>
          <w:rFonts w:eastAsia="Times New Roman"/>
          <w:bCs/>
          <w:szCs w:val="24"/>
        </w:rPr>
      </w:pPr>
      <w:r>
        <w:rPr>
          <w:rFonts w:eastAsia="Times New Roman"/>
          <w:szCs w:val="24"/>
        </w:rPr>
        <w:t xml:space="preserve">A földmunkák kivitelezését és munkavédelmi feladatait </w:t>
      </w:r>
      <w:r>
        <w:rPr>
          <w:rFonts w:eastAsia="Times New Roman"/>
          <w:bCs/>
          <w:szCs w:val="24"/>
        </w:rPr>
        <w:t xml:space="preserve">az építési munkahelyeken és </w:t>
      </w:r>
      <w:r>
        <w:rPr>
          <w:rFonts w:eastAsia="Times New Roman"/>
          <w:bCs/>
          <w:i/>
          <w:szCs w:val="24"/>
        </w:rPr>
        <w:t>az építési folyamatok során megvalósítandó minimális munkavédelmi követelményekről</w:t>
      </w:r>
      <w:r>
        <w:rPr>
          <w:rFonts w:eastAsia="Times New Roman"/>
          <w:bCs/>
          <w:szCs w:val="24"/>
        </w:rPr>
        <w:t xml:space="preserve"> szóló 4/2002. (II. 20.) SzCsM-EüM együttes rendelet előírásai szerint meg kell tervezni. A szükséges dúcolási, víztelenítési és munkavédelmi szerkezeteket és intézkedéseket a Vállalkozó által készítendő Kiviteli tervdokumentációnak tartalmaznia kell. </w:t>
      </w:r>
    </w:p>
    <w:p>
      <w:pPr>
        <w:pStyle w:val="Szvegtrzs"/>
        <w:rPr>
          <w:rFonts w:eastAsia="Times New Roman"/>
          <w:szCs w:val="24"/>
        </w:rPr>
      </w:pPr>
      <w:r>
        <w:rPr>
          <w:rFonts w:eastAsia="Times New Roman"/>
          <w:szCs w:val="24"/>
        </w:rPr>
        <w:t>A terveken fel kell tüntetni a meglévő vezetékek nyomvonalát, a berendezések helyét és a szükséges védelmi körzetet.</w:t>
      </w:r>
    </w:p>
    <w:p>
      <w:pPr>
        <w:pStyle w:val="Szvegtrzs"/>
        <w:rPr>
          <w:rFonts w:eastAsia="Times New Roman"/>
          <w:szCs w:val="24"/>
        </w:rPr>
      </w:pPr>
      <w:r>
        <w:rPr>
          <w:rFonts w:eastAsia="Times New Roman"/>
          <w:szCs w:val="24"/>
        </w:rPr>
        <w:t xml:space="preserve">Különleges időjárási viszonyokat - felhőszakadás, szélvihar, fagyott föld olvadásának esete stb. - követően a munkahely műszaki vezetője köteles az összes veszélyes tereprészeket, különösen a nyitott árkok, gödrök állapotát, a dúcolatok biztonságtechnika követelményeit felülvizsgálni és a munka csak a szükséges óvintézkedések megtétele után folytatható. </w:t>
      </w:r>
    </w:p>
    <w:p>
      <w:pPr>
        <w:pStyle w:val="Szvegtrzs"/>
        <w:rPr>
          <w:rFonts w:eastAsia="Times New Roman"/>
          <w:szCs w:val="24"/>
        </w:rPr>
      </w:pPr>
      <w:r>
        <w:rPr>
          <w:rFonts w:eastAsia="Times New Roman"/>
          <w:szCs w:val="24"/>
        </w:rPr>
        <w:t>Földmunkák mérettűrése általános esetben:</w:t>
      </w:r>
    </w:p>
    <w:p>
      <w:pPr>
        <w:pStyle w:val="Szvegtrzs"/>
        <w:numPr>
          <w:ilvl w:val="0"/>
          <w:numId w:val="24"/>
        </w:numPr>
        <w:spacing w:before="0" w:after="0"/>
        <w:ind w:left="714" w:hanging="357"/>
        <w:rPr>
          <w:rFonts w:eastAsia="Times New Roman"/>
          <w:szCs w:val="24"/>
        </w:rPr>
      </w:pPr>
      <w:r>
        <w:rPr>
          <w:rFonts w:eastAsia="Times New Roman"/>
          <w:szCs w:val="24"/>
        </w:rPr>
        <w:t>vízszintes felületeknél +/- 100mm</w:t>
      </w:r>
    </w:p>
    <w:p>
      <w:pPr>
        <w:pStyle w:val="Szvegtrzs"/>
        <w:numPr>
          <w:ilvl w:val="0"/>
          <w:numId w:val="24"/>
        </w:numPr>
        <w:spacing w:before="0" w:after="0"/>
        <w:ind w:left="714" w:hanging="357"/>
        <w:rPr>
          <w:rFonts w:eastAsia="Times New Roman"/>
          <w:szCs w:val="24"/>
        </w:rPr>
      </w:pPr>
      <w:r>
        <w:rPr>
          <w:rFonts w:eastAsia="Times New Roman"/>
          <w:szCs w:val="24"/>
        </w:rPr>
        <w:t>függőleges felületeknél +/- 50 mm</w:t>
      </w:r>
    </w:p>
    <w:p>
      <w:pPr>
        <w:pStyle w:val="Cmsor2"/>
        <w:numPr>
          <w:ilvl w:val="1"/>
          <w:numId w:val="3"/>
        </w:numPr>
        <w:rPr/>
      </w:pPr>
      <w:bookmarkStart w:id="66" w:name="_Toc453756454"/>
      <w:bookmarkStart w:id="67" w:name="_Toc343773416"/>
      <w:bookmarkEnd w:id="66"/>
      <w:bookmarkEnd w:id="67"/>
      <w:r>
        <w:rPr/>
        <w:t>Földkitermelések</w:t>
      </w:r>
    </w:p>
    <w:p>
      <w:pPr>
        <w:pStyle w:val="Szvegtrzs"/>
        <w:rPr>
          <w:rFonts w:eastAsia="Times New Roman"/>
          <w:szCs w:val="24"/>
        </w:rPr>
      </w:pPr>
      <w:r>
        <w:rPr>
          <w:rFonts w:eastAsia="Times New Roman"/>
          <w:szCs w:val="24"/>
        </w:rPr>
        <w:t>A földkitermelési munkák kitűzése biztosítsa a munkavégzés zavartalanságát, legyen egyértelmű és megfelelő biztosító pontokkal könnyen rekonstruálható. A kitűzési jelek, zsinórállások, rézsűháromszögek stb. olyan figyelmet felkeltő jelzésekkel, pl. meszeléssel legyenek ellátva, hogy a biztonságos közlekedést, mozgást a munkaterületen ne akadályozzák.</w:t>
      </w:r>
    </w:p>
    <w:p>
      <w:pPr>
        <w:pStyle w:val="Szvegtrzs"/>
        <w:rPr>
          <w:rFonts w:eastAsia="Times New Roman"/>
          <w:szCs w:val="24"/>
        </w:rPr>
      </w:pPr>
      <w:r>
        <w:rPr>
          <w:rFonts w:eastAsia="Times New Roman"/>
          <w:szCs w:val="24"/>
        </w:rPr>
        <w:t>A fejtés és szállítás helyéről minden felesleges és zavaró tárgyat, anyagdepóniát, növényzetet stb. el kell távolítani. A munkaterületbe eső földalatti és föld feletti vezetéket fel kell tárni és azok védelméről fontosságuk és veszélyességüknek megfelelő mértékben gondoskodni kell.</w:t>
      </w:r>
    </w:p>
    <w:p>
      <w:pPr>
        <w:pStyle w:val="Szvegtrzs"/>
        <w:rPr>
          <w:rFonts w:eastAsia="Times New Roman"/>
          <w:szCs w:val="24"/>
        </w:rPr>
      </w:pPr>
      <w:r>
        <w:rPr>
          <w:rFonts w:eastAsia="Times New Roman"/>
          <w:szCs w:val="24"/>
        </w:rPr>
        <w:t>Dúcolt árokban vagy gödörben végzett munka esetén a dúcolat épségéről, biztonságáról munkakezdés előtt a kijelölt vezetőnek meg kell győződnie, és csak ezután kezdhető meg a munka. Dúcolt árok, illetve gödör esetében a biztonsági előírásoknak is megfelelő dúcolat átvételét a művezetőnek az Építési naplóban rögzíteni kell.</w:t>
      </w:r>
    </w:p>
    <w:p>
      <w:pPr>
        <w:pStyle w:val="Szvegtrzs"/>
        <w:rPr>
          <w:rFonts w:eastAsia="Times New Roman"/>
          <w:szCs w:val="24"/>
        </w:rPr>
      </w:pPr>
      <w:r>
        <w:rPr>
          <w:rFonts w:eastAsia="Times New Roman"/>
          <w:szCs w:val="24"/>
        </w:rPr>
        <w:t xml:space="preserve">Olyan helyeken, ahol a természetes világítás nem kielégítő, ott mesterséges világításról kell gondoskodni. A megvilágítás értéke legalább 20-75 lux. </w:t>
      </w:r>
    </w:p>
    <w:p>
      <w:pPr>
        <w:pStyle w:val="Szvegtrzs"/>
        <w:rPr>
          <w:rFonts w:eastAsia="Times New Roman"/>
          <w:szCs w:val="24"/>
        </w:rPr>
      </w:pPr>
      <w:r>
        <w:rPr>
          <w:rFonts w:eastAsia="Times New Roman"/>
          <w:szCs w:val="24"/>
        </w:rPr>
        <w:t>Amennyiben a vonatkozó jogszabályban erre vonatkozó előírás ennél szigorúbb követelményeket nem ír elő, az alábbi előírások alkalmazandók:</w:t>
      </w:r>
    </w:p>
    <w:p>
      <w:pPr>
        <w:pStyle w:val="Szvegtrzs"/>
        <w:numPr>
          <w:ilvl w:val="0"/>
          <w:numId w:val="25"/>
        </w:numPr>
        <w:rPr>
          <w:rFonts w:eastAsia="Times New Roman"/>
          <w:szCs w:val="24"/>
        </w:rPr>
      </w:pPr>
      <w:r>
        <w:rPr>
          <w:rFonts w:eastAsia="Times New Roman"/>
          <w:szCs w:val="24"/>
        </w:rPr>
        <w:t>a dúcolt munkaárkok mélyítését a talaj minőségétől függően, de állékony talajban legfeljebb 1,0 m-enként, nem állékony talajban legfeljebb 0,5 m-enként követni kell a dúcolásnak</w:t>
      </w:r>
    </w:p>
    <w:p>
      <w:pPr>
        <w:pStyle w:val="Szvegtrzs"/>
        <w:numPr>
          <w:ilvl w:val="0"/>
          <w:numId w:val="25"/>
        </w:numPr>
        <w:rPr>
          <w:rFonts w:eastAsia="Times New Roman"/>
          <w:szCs w:val="24"/>
        </w:rPr>
      </w:pPr>
      <w:r>
        <w:rPr>
          <w:rFonts w:eastAsia="Times New Roman"/>
          <w:szCs w:val="24"/>
        </w:rPr>
        <w:t>külön előírás hiányában a dúcolt munkaárkok szélességét úgy kell megválasztani, hogy a beépítendő szerkezetek és a dúcpallók között legalább a következők szerinti szabad tér maradjon.</w:t>
      </w:r>
    </w:p>
    <w:p>
      <w:pPr>
        <w:pStyle w:val="Szvegtrzs"/>
        <w:numPr>
          <w:ilvl w:val="0"/>
          <w:numId w:val="26"/>
        </w:numPr>
        <w:rPr>
          <w:rFonts w:eastAsia="Times New Roman"/>
          <w:szCs w:val="24"/>
        </w:rPr>
      </w:pPr>
      <w:r>
        <w:rPr>
          <w:rFonts w:eastAsia="Times New Roman"/>
          <w:szCs w:val="24"/>
        </w:rPr>
        <w:t>1,75 m árokmélység, ha a szerkezet legnagyobb vízszintes mérete a hossztengelyre merőlegesen</w:t>
      </w:r>
    </w:p>
    <w:p>
      <w:pPr>
        <w:pStyle w:val="Szvegtrzs"/>
        <w:spacing w:before="0" w:after="0"/>
        <w:rPr>
          <w:rFonts w:eastAsia="Times New Roman"/>
          <w:szCs w:val="24"/>
        </w:rPr>
      </w:pPr>
      <w:r>
        <w:rPr>
          <w:rFonts w:eastAsia="Times New Roman"/>
          <w:szCs w:val="24"/>
        </w:rPr>
        <w:tab/>
        <w:tab/>
        <w:t>0.50 m-nél kisebb</w:t>
        <w:tab/>
        <w:t>0.20 m</w:t>
      </w:r>
    </w:p>
    <w:p>
      <w:pPr>
        <w:pStyle w:val="Szvegtrzs"/>
        <w:spacing w:before="0" w:after="0"/>
        <w:rPr>
          <w:rFonts w:eastAsia="Times New Roman"/>
          <w:szCs w:val="24"/>
        </w:rPr>
      </w:pPr>
      <w:r>
        <w:rPr>
          <w:rFonts w:eastAsia="Times New Roman"/>
          <w:szCs w:val="24"/>
        </w:rPr>
        <w:tab/>
        <w:tab/>
        <w:t>0.51-0.60 m között</w:t>
        <w:tab/>
        <w:t>0.30 m</w:t>
      </w:r>
    </w:p>
    <w:p>
      <w:pPr>
        <w:pStyle w:val="Szvegtrzs"/>
        <w:spacing w:before="0" w:after="0"/>
        <w:rPr>
          <w:rFonts w:eastAsia="Times New Roman"/>
          <w:szCs w:val="24"/>
        </w:rPr>
      </w:pPr>
      <w:r>
        <w:rPr>
          <w:rFonts w:eastAsia="Times New Roman"/>
          <w:szCs w:val="24"/>
        </w:rPr>
        <w:tab/>
        <w:tab/>
        <w:t>0.61-10.0 m között</w:t>
        <w:tab/>
        <w:t>0.40 m</w:t>
      </w:r>
    </w:p>
    <w:p>
      <w:pPr>
        <w:pStyle w:val="Szvegtrzs"/>
        <w:spacing w:before="0" w:after="0"/>
        <w:rPr>
          <w:rFonts w:eastAsia="Times New Roman"/>
          <w:szCs w:val="24"/>
        </w:rPr>
      </w:pPr>
      <w:r>
        <w:rPr>
          <w:rFonts w:eastAsia="Times New Roman"/>
          <w:szCs w:val="24"/>
        </w:rPr>
        <w:tab/>
        <w:tab/>
        <w:t>1.0 m-nél nagyobb</w:t>
        <w:tab/>
        <w:t>0.50 m</w:t>
      </w:r>
    </w:p>
    <w:p>
      <w:pPr>
        <w:pStyle w:val="Szvegtrzs"/>
        <w:numPr>
          <w:ilvl w:val="0"/>
          <w:numId w:val="26"/>
        </w:numPr>
        <w:spacing w:before="0" w:after="0"/>
        <w:rPr>
          <w:rFonts w:eastAsia="Times New Roman"/>
          <w:szCs w:val="24"/>
        </w:rPr>
      </w:pPr>
      <w:r>
        <w:rPr>
          <w:rFonts w:eastAsia="Times New Roman"/>
          <w:szCs w:val="24"/>
        </w:rPr>
        <w:t>1,75 m-nél mélyebb árokban, ha a szerkezet legnagyobb vízszintes mérete a hossztengelyre merőlegesen</w:t>
      </w:r>
    </w:p>
    <w:p>
      <w:pPr>
        <w:pStyle w:val="Szvegtrzs"/>
        <w:spacing w:before="0" w:after="0"/>
        <w:rPr>
          <w:rFonts w:eastAsia="Times New Roman"/>
          <w:szCs w:val="24"/>
        </w:rPr>
      </w:pPr>
      <w:r>
        <w:rPr>
          <w:rFonts w:eastAsia="Times New Roman"/>
          <w:szCs w:val="24"/>
        </w:rPr>
        <w:tab/>
        <w:tab/>
        <w:t>0.50 m-nél kisebb</w:t>
        <w:tab/>
        <w:t>0.35 m</w:t>
      </w:r>
    </w:p>
    <w:p>
      <w:pPr>
        <w:pStyle w:val="Szvegtrzs"/>
        <w:spacing w:before="0" w:after="0"/>
        <w:rPr>
          <w:rFonts w:eastAsia="Times New Roman"/>
          <w:szCs w:val="24"/>
        </w:rPr>
      </w:pPr>
      <w:r>
        <w:rPr>
          <w:rFonts w:eastAsia="Times New Roman"/>
          <w:szCs w:val="24"/>
        </w:rPr>
        <w:tab/>
        <w:tab/>
        <w:t>0.51-0.60 m között</w:t>
        <w:tab/>
        <w:t>0.45 m</w:t>
      </w:r>
    </w:p>
    <w:p>
      <w:pPr>
        <w:pStyle w:val="Szvegtrzs"/>
        <w:spacing w:before="0" w:after="0"/>
        <w:rPr>
          <w:rFonts w:eastAsia="Times New Roman"/>
          <w:szCs w:val="24"/>
        </w:rPr>
      </w:pPr>
      <w:r>
        <w:rPr>
          <w:rFonts w:eastAsia="Times New Roman"/>
          <w:szCs w:val="24"/>
        </w:rPr>
        <w:tab/>
        <w:tab/>
        <w:t>0.61-10.0 m között</w:t>
        <w:tab/>
        <w:t>0.55 m</w:t>
      </w:r>
    </w:p>
    <w:p>
      <w:pPr>
        <w:pStyle w:val="Szvegtrzs"/>
        <w:spacing w:before="0" w:after="0"/>
        <w:rPr>
          <w:rFonts w:eastAsia="Times New Roman"/>
          <w:szCs w:val="24"/>
        </w:rPr>
      </w:pPr>
      <w:r>
        <w:rPr>
          <w:rFonts w:eastAsia="Times New Roman"/>
          <w:szCs w:val="24"/>
        </w:rPr>
        <w:tab/>
        <w:tab/>
        <w:t>1.0 m-nél nagyobb</w:t>
        <w:tab/>
        <w:t>0.65 m</w:t>
      </w:r>
    </w:p>
    <w:p>
      <w:pPr>
        <w:pStyle w:val="Szvegtrzs"/>
        <w:rPr>
          <w:rFonts w:eastAsia="Times New Roman"/>
          <w:szCs w:val="24"/>
        </w:rPr>
      </w:pPr>
      <w:r>
        <w:rPr>
          <w:rFonts w:eastAsia="Times New Roman"/>
          <w:szCs w:val="24"/>
        </w:rPr>
        <w:t>A földfejtés és a depóniák helye, a szállítási útvonal a munka megkezdése előtt úgy legyen kitűzve, hogy a fix pontok alapján további méretek zavartalanul legyenek meghatározhatók magassági és horizontális értelemben egyaránt.</w:t>
      </w:r>
    </w:p>
    <w:p>
      <w:pPr>
        <w:pStyle w:val="Szvegtrzs"/>
        <w:rPr>
          <w:rFonts w:eastAsia="Times New Roman"/>
          <w:szCs w:val="24"/>
        </w:rPr>
      </w:pPr>
      <w:r>
        <w:rPr>
          <w:rFonts w:eastAsia="Times New Roman"/>
          <w:szCs w:val="24"/>
        </w:rPr>
        <w:t xml:space="preserve">A munka megkezdése előtt, a munkát közvetlenül irányító vezető köteles a munkaterületet átvenni és meggyőződni arról, hogy a biztonságos munkavégzés feltételei adottak-e. </w:t>
      </w:r>
    </w:p>
    <w:p>
      <w:pPr>
        <w:pStyle w:val="Szvegtrzs"/>
        <w:rPr>
          <w:rFonts w:eastAsia="Times New Roman"/>
          <w:szCs w:val="24"/>
        </w:rPr>
      </w:pPr>
      <w:r>
        <w:rPr>
          <w:rFonts w:eastAsia="Times New Roman"/>
          <w:szCs w:val="24"/>
        </w:rPr>
        <w:t>Rézsűs munkatér-határolás esetén a rézsűket az anyag minőségének és rétegződésének megfelelően, lépcsőzetesen haladva kell kitermelni. Lépcsőzött kiképzés esetén azok padkamagassága legfeljebb 1,0 m lehet, a padkák (lépcsők) szélessége nem lehet kisebb azok magasságánál.</w:t>
      </w:r>
    </w:p>
    <w:p>
      <w:pPr>
        <w:pStyle w:val="Szvegtrzs"/>
        <w:rPr>
          <w:rFonts w:eastAsia="Times New Roman"/>
          <w:szCs w:val="24"/>
        </w:rPr>
      </w:pPr>
      <w:r>
        <w:rPr>
          <w:rFonts w:eastAsia="Times New Roman"/>
          <w:szCs w:val="24"/>
        </w:rPr>
        <w:t>Ha az elvégzendő földmunka a meglévő létesítmények állékonyságát veszélyeztetheti, azok védelméről gondoskodni kell.</w:t>
      </w:r>
    </w:p>
    <w:p>
      <w:pPr>
        <w:pStyle w:val="Szvegtrzs"/>
        <w:rPr>
          <w:rFonts w:eastAsia="Times New Roman"/>
          <w:szCs w:val="24"/>
        </w:rPr>
      </w:pPr>
      <w:r>
        <w:rPr>
          <w:rFonts w:eastAsia="Times New Roman"/>
          <w:szCs w:val="24"/>
        </w:rPr>
        <w:t xml:space="preserve">Többfajta talajréteg egyidejű fejtésénél, ha a deponálás visszatöltés vagy újbóli felhasználás céljából történik, az egyes talajfajtákat el kell különíteni. </w:t>
      </w:r>
    </w:p>
    <w:p>
      <w:pPr>
        <w:pStyle w:val="Szvegtrzs"/>
        <w:rPr>
          <w:rFonts w:eastAsia="Times New Roman"/>
          <w:szCs w:val="24"/>
        </w:rPr>
      </w:pPr>
      <w:r>
        <w:rPr>
          <w:rFonts w:eastAsia="Times New Roman"/>
          <w:szCs w:val="24"/>
        </w:rPr>
        <w:t xml:space="preserve">A fejtett anyag elszállítása esetén a folyamatos szállítást biztosítani kell. Közművezetékek építése esetén az árkon minden lakóház előtt, de legalább 50 m-enként korláttal ellátott gyalogos átjárót kell biztosítani. </w:t>
      </w:r>
    </w:p>
    <w:p>
      <w:pPr>
        <w:pStyle w:val="Szvegtrzs"/>
        <w:rPr>
          <w:rFonts w:eastAsia="Times New Roman"/>
          <w:b/>
          <w:b/>
          <w:szCs w:val="24"/>
        </w:rPr>
      </w:pPr>
      <w:r>
        <w:rPr>
          <w:rFonts w:eastAsia="Times New Roman"/>
          <w:b/>
          <w:szCs w:val="24"/>
        </w:rPr>
        <w:t>A felszíni vizek elvezetéséről kiemelt figyelemmel gondoskodni kell.</w:t>
      </w:r>
    </w:p>
    <w:p>
      <w:pPr>
        <w:pStyle w:val="Szvegtrzs"/>
        <w:rPr>
          <w:rFonts w:eastAsia="Times New Roman"/>
          <w:szCs w:val="24"/>
        </w:rPr>
      </w:pPr>
      <w:r>
        <w:rPr>
          <w:rFonts w:eastAsia="Times New Roman"/>
          <w:szCs w:val="24"/>
        </w:rPr>
        <w:t xml:space="preserve">A felszíni vizeket úgy kell elvezetni, hogy a csapadékvíz a közlekedési útvonalak és a földművek állékonyságát sem építés közben, sem a munka befejezése után ne veszélyeztesse, és talajmozgást, csúszást ne okozzon. </w:t>
      </w:r>
    </w:p>
    <w:p>
      <w:pPr>
        <w:pStyle w:val="Szvegtrzs"/>
        <w:rPr>
          <w:rFonts w:eastAsia="Times New Roman"/>
          <w:szCs w:val="24"/>
        </w:rPr>
      </w:pPr>
      <w:r>
        <w:rPr>
          <w:rFonts w:eastAsia="Times New Roman"/>
          <w:szCs w:val="24"/>
        </w:rPr>
        <w:t>Szükség esetén az építés közbeni vízelvezetésről is gondoskodni kell. Alávágással földfejtést végezni semmilyen körülmények között sem szabad.</w:t>
      </w:r>
    </w:p>
    <w:p>
      <w:pPr>
        <w:pStyle w:val="Szvegtrzs"/>
        <w:rPr>
          <w:rFonts w:eastAsia="Times New Roman"/>
          <w:szCs w:val="24"/>
        </w:rPr>
      </w:pPr>
      <w:r>
        <w:rPr>
          <w:rFonts w:eastAsia="Times New Roman"/>
          <w:szCs w:val="24"/>
        </w:rPr>
        <w:t>A fejtésre kerülő szelvény talaját könnyű talajok esetén szórólapáttal, szükség szerint kubikos-ásóval, a talaj fellazításával és egy karolás távolságon belüli kidobásával kell kitermelni a terepszintre vagy szállítóeszközre.</w:t>
      </w:r>
    </w:p>
    <w:p>
      <w:pPr>
        <w:pStyle w:val="Szvegtrzs"/>
        <w:rPr>
          <w:rFonts w:eastAsia="Times New Roman"/>
          <w:szCs w:val="24"/>
        </w:rPr>
      </w:pPr>
      <w:r>
        <w:rPr>
          <w:rFonts w:eastAsia="Times New Roman"/>
          <w:szCs w:val="24"/>
        </w:rPr>
        <w:t>A terepszintre a földet úgy kell kidobni, hogy a kezdőszintnél a képzendő depónia legtávolabbi részére kerüljön a talaj, majd a fejtési mélység növekedésével egyre közelebb kerül az árok vagy gödör széléhez, de mindig úgy, hogy legalább 50 cm széles padka szabadon maradjon. A föld visszapergését a munkaárokba karókkal rögzített lábdeszka beállításával kell megakadályozni.</w:t>
      </w:r>
    </w:p>
    <w:p>
      <w:pPr>
        <w:pStyle w:val="Szvegtrzs"/>
        <w:rPr>
          <w:rFonts w:eastAsia="Times New Roman"/>
          <w:szCs w:val="24"/>
        </w:rPr>
      </w:pPr>
      <w:r>
        <w:rPr>
          <w:rFonts w:eastAsia="Times New Roman"/>
          <w:szCs w:val="24"/>
        </w:rPr>
        <w:t xml:space="preserve">A munkaárok szélét a szakadó lapon belül csak abban az esetben szabad megterhelni, ha a dúcolás, a terhelésből származó többlet teher felvételére is méretezve van. Kötöttebb talajok lazítása csákány lapos vagy hegyes végével vagy bontórúd, esetleg ékek segítségével történik. A fejtett talajanyagot lapáttal ugyanúgy kell továbbítani, mint könnyű talajok esetében. </w:t>
      </w:r>
    </w:p>
    <w:p>
      <w:pPr>
        <w:pStyle w:val="Szvegtrzs"/>
        <w:rPr>
          <w:rFonts w:eastAsia="Times New Roman"/>
          <w:szCs w:val="24"/>
        </w:rPr>
      </w:pPr>
      <w:r>
        <w:rPr>
          <w:rFonts w:eastAsia="Times New Roman"/>
          <w:szCs w:val="24"/>
        </w:rPr>
        <w:t>A szelvény terv szerinti kialakítása a fejtéssel párhuzamosan készül, az oldal- és fenéksíkok nyesésével, a lenyesett talajanyagok és a kidobásnál visszahullott anyag lapáttal történő összekaparásával és kidobásával. Nagyobb rögöket, darabokat ásóval, lapáttal szét kell verni. Kötött sziklás talajokat legfeljebb 15 kg-os darabokra, kőtörő kalapáccsal kell felaprítani. A nagyobb darabok kidobása kézzel történik.</w:t>
      </w:r>
    </w:p>
    <w:p>
      <w:pPr>
        <w:pStyle w:val="Szvegtrzs"/>
        <w:rPr>
          <w:rFonts w:eastAsia="Times New Roman"/>
          <w:szCs w:val="24"/>
        </w:rPr>
      </w:pPr>
      <w:r>
        <w:rPr>
          <w:rFonts w:eastAsia="Times New Roman"/>
          <w:szCs w:val="24"/>
        </w:rPr>
        <w:t>A különböző helyekről - árok, gödör, széles felület stb. - történő földkitermeléseknél a munka részletes leírása értelemszerűen vonatkoztatható, illetve alkalmazandó.</w:t>
      </w:r>
    </w:p>
    <w:p>
      <w:pPr>
        <w:pStyle w:val="Szvegtrzs"/>
        <w:rPr>
          <w:rFonts w:eastAsia="Times New Roman"/>
          <w:szCs w:val="24"/>
        </w:rPr>
      </w:pPr>
      <w:r>
        <w:rPr>
          <w:rFonts w:eastAsia="Times New Roman"/>
          <w:szCs w:val="24"/>
        </w:rPr>
        <w:t>Árok, gödör fejtése esetén, 1,0 m mélység alatt a le-, ill. felfelé való közlekedés csúszás ellen biztosított létrán történik, a dúcok ilyen értelmű igénybevétele megengedhetetlen. Víz alóli kitermelés, vagy vizes-tapadós talajok fejtése esetén a szerszámok tisztítását lekaparással vagy szilárd anyagokhoz történő ütögetéssel kell végrehajtani.</w:t>
      </w:r>
    </w:p>
    <w:p>
      <w:pPr>
        <w:pStyle w:val="Szvegtrzs"/>
        <w:rPr>
          <w:rFonts w:eastAsia="Times New Roman"/>
          <w:szCs w:val="24"/>
        </w:rPr>
      </w:pPr>
      <w:r>
        <w:rPr>
          <w:rFonts w:eastAsia="Times New Roman"/>
          <w:szCs w:val="24"/>
        </w:rPr>
        <w:t>A talicskás szállítás - a talicska tolásával és ürítésével - meghatározott nyomvonalon történik. A szállítás útvonalának csúszásmentesnek kell lennie, szükség szerint pallóterítést kell készíteni úgy, hogy a talicska kereke billenés-menetesen guruljon a pallón. Az 50 m-en túli és a meredek emelkedőn történő talicskás szállítást kerülni kell.</w:t>
      </w:r>
    </w:p>
    <w:p>
      <w:pPr>
        <w:pStyle w:val="Szvegtrzs"/>
        <w:rPr>
          <w:rFonts w:eastAsia="Times New Roman"/>
          <w:szCs w:val="24"/>
        </w:rPr>
      </w:pPr>
      <w:r>
        <w:rPr>
          <w:rFonts w:eastAsia="Times New Roman"/>
          <w:szCs w:val="24"/>
        </w:rPr>
        <w:t>Esetenként a meglévő fix pontokról további kitűzési pontok besűrítése, egyszerű hossz- vagy benéző-keresztekkel történő mérés alapján történik.</w:t>
      </w:r>
    </w:p>
    <w:p>
      <w:pPr>
        <w:pStyle w:val="Szvegtrzs"/>
        <w:rPr>
          <w:rFonts w:eastAsia="Times New Roman"/>
          <w:szCs w:val="24"/>
        </w:rPr>
      </w:pPr>
      <w:r>
        <w:rPr>
          <w:rFonts w:eastAsia="Times New Roman"/>
          <w:szCs w:val="24"/>
        </w:rPr>
        <w:t>Munka közben szükségtől függően méretellenőrzéseket kell végezni. Esetenként merül fel a biztonsági korlátok felállítása illetőleg elbontása.</w:t>
      </w:r>
    </w:p>
    <w:p>
      <w:pPr>
        <w:pStyle w:val="Szvegtrzs"/>
        <w:rPr>
          <w:rFonts w:eastAsia="Times New Roman"/>
          <w:szCs w:val="24"/>
        </w:rPr>
      </w:pPr>
      <w:r>
        <w:rPr>
          <w:rFonts w:eastAsia="Times New Roman"/>
          <w:szCs w:val="24"/>
        </w:rPr>
        <w:t>A későbbiekben terhelésre igénybe nem vett területi földkitermeléseknél a túlfejtés megengedett mértéke 15 cm, egyebekben túlfejteni nem szabad.</w:t>
      </w:r>
    </w:p>
    <w:p>
      <w:pPr>
        <w:pStyle w:val="Cmsor2"/>
        <w:numPr>
          <w:ilvl w:val="1"/>
          <w:numId w:val="3"/>
        </w:numPr>
        <w:rPr/>
      </w:pPr>
      <w:bookmarkStart w:id="68" w:name="_Toc453756455"/>
      <w:bookmarkStart w:id="69" w:name="_Toc343773417"/>
      <w:bookmarkEnd w:id="68"/>
      <w:bookmarkEnd w:id="69"/>
      <w:r>
        <w:rPr/>
        <w:t>Dúcolás</w:t>
      </w:r>
    </w:p>
    <w:p>
      <w:pPr>
        <w:pStyle w:val="Szvegtrzs"/>
        <w:rPr>
          <w:rFonts w:eastAsia="Times New Roman"/>
          <w:szCs w:val="24"/>
        </w:rPr>
      </w:pPr>
      <w:r>
        <w:rPr>
          <w:rFonts w:eastAsia="Times New Roman"/>
          <w:szCs w:val="24"/>
        </w:rPr>
        <w:t xml:space="preserve">Munkaárok, munkagödör dúcolását a Vállalkozónak a tervezési munka keretében a szolgáltatott és a Vállalkozó által felülvizsgált, illetve általa elvégzett kiegészítő részletes talajmechanikai, illetve geotechnikai vizsgálat alapján, </w:t>
      </w:r>
      <w:r>
        <w:rPr>
          <w:rFonts w:eastAsia="Times New Roman"/>
          <w:bCs/>
          <w:szCs w:val="24"/>
        </w:rPr>
        <w:t>az építési folyamatok során megvalósítandó minimális munkavédelmi követelményekről szóló 4/2002. (II. 20.) SzCsM-EüM együttes rendelet előírásai</w:t>
      </w:r>
      <w:r>
        <w:rPr>
          <w:rFonts w:eastAsia="Times New Roman"/>
          <w:szCs w:val="24"/>
        </w:rPr>
        <w:t>t figyelembe véve meg kell terveznie, a kiviteli dokumentációban be kell mutatnia, és a munkát ennek megfelelően kell végeznie.</w:t>
      </w:r>
    </w:p>
    <w:p>
      <w:pPr>
        <w:pStyle w:val="Szvegtrzs"/>
        <w:rPr>
          <w:rFonts w:eastAsia="Times New Roman"/>
          <w:szCs w:val="24"/>
        </w:rPr>
      </w:pPr>
      <w:r>
        <w:rPr>
          <w:rFonts w:eastAsia="Times New Roman"/>
          <w:szCs w:val="24"/>
        </w:rPr>
        <w:t>A dúcolás méretezése csak hatályos magyar szabvány alapján végezhető.</w:t>
      </w:r>
    </w:p>
    <w:p>
      <w:pPr>
        <w:pStyle w:val="Szvegtrzs"/>
        <w:rPr>
          <w:rFonts w:eastAsia="Times New Roman"/>
          <w:szCs w:val="24"/>
        </w:rPr>
      </w:pPr>
      <w:r>
        <w:rPr>
          <w:rFonts w:eastAsia="Times New Roman"/>
          <w:szCs w:val="24"/>
        </w:rPr>
        <w:t>A dúcolási tervet a Műszaki ellenőr a kiviteli terv részeként felülvizsgálja. Kivitelezés csak a jóváhagyott terv alapján folyhat.</w:t>
      </w:r>
    </w:p>
    <w:p>
      <w:pPr>
        <w:pStyle w:val="Szvegtrzs"/>
        <w:rPr>
          <w:rFonts w:eastAsia="Times New Roman"/>
          <w:szCs w:val="24"/>
        </w:rPr>
      </w:pPr>
      <w:r>
        <w:rPr>
          <w:rFonts w:eastAsia="Times New Roman"/>
          <w:szCs w:val="24"/>
        </w:rPr>
        <w:t>A munkaárok típusának és a megtámasztás módjának megválasztásakor a figyelembe kell venni:</w:t>
      </w:r>
    </w:p>
    <w:p>
      <w:pPr>
        <w:pStyle w:val="Szvegtrzs"/>
        <w:numPr>
          <w:ilvl w:val="0"/>
          <w:numId w:val="27"/>
        </w:numPr>
        <w:spacing w:before="0" w:after="0"/>
        <w:rPr>
          <w:rFonts w:eastAsia="Times New Roman"/>
          <w:szCs w:val="24"/>
        </w:rPr>
      </w:pPr>
      <w:r>
        <w:rPr>
          <w:rFonts w:eastAsia="Times New Roman"/>
          <w:szCs w:val="24"/>
        </w:rPr>
        <w:t>a talajmechanikai előírásokat,</w:t>
      </w:r>
    </w:p>
    <w:p>
      <w:pPr>
        <w:pStyle w:val="Szvegtrzs"/>
        <w:numPr>
          <w:ilvl w:val="0"/>
          <w:numId w:val="27"/>
        </w:numPr>
        <w:spacing w:before="0" w:after="0"/>
        <w:rPr>
          <w:rFonts w:eastAsia="Times New Roman"/>
          <w:szCs w:val="24"/>
        </w:rPr>
      </w:pPr>
      <w:r>
        <w:rPr>
          <w:rFonts w:eastAsia="Times New Roman"/>
          <w:szCs w:val="24"/>
        </w:rPr>
        <w:t>a földmunkák céljára rendelkezésre álló szabad terület nagyságát,</w:t>
      </w:r>
    </w:p>
    <w:p>
      <w:pPr>
        <w:pStyle w:val="Szvegtrzs"/>
        <w:numPr>
          <w:ilvl w:val="0"/>
          <w:numId w:val="27"/>
        </w:numPr>
        <w:spacing w:before="0" w:after="0"/>
        <w:rPr>
          <w:rFonts w:eastAsia="Times New Roman"/>
          <w:szCs w:val="24"/>
        </w:rPr>
      </w:pPr>
      <w:r>
        <w:rPr>
          <w:rFonts w:eastAsia="Times New Roman"/>
          <w:szCs w:val="24"/>
        </w:rPr>
        <w:t>a tervezett vezetékek építéséhez, elhelyezéshez szükséges szabad tér biztosíthatóságát,</w:t>
      </w:r>
    </w:p>
    <w:p>
      <w:pPr>
        <w:pStyle w:val="Szvegtrzs"/>
        <w:numPr>
          <w:ilvl w:val="0"/>
          <w:numId w:val="27"/>
        </w:numPr>
        <w:spacing w:before="0" w:after="0"/>
        <w:rPr>
          <w:rFonts w:eastAsia="Times New Roman"/>
          <w:szCs w:val="24"/>
        </w:rPr>
      </w:pPr>
      <w:r>
        <w:rPr>
          <w:rFonts w:eastAsia="Times New Roman"/>
          <w:szCs w:val="24"/>
        </w:rPr>
        <w:t>az építés forgalmi igényeit, illetve az ebből a munkaárokra jutó terhelés nagyságát,</w:t>
      </w:r>
    </w:p>
    <w:p>
      <w:pPr>
        <w:pStyle w:val="Szvegtrzs"/>
        <w:numPr>
          <w:ilvl w:val="0"/>
          <w:numId w:val="27"/>
        </w:numPr>
        <w:spacing w:before="0" w:after="0"/>
        <w:rPr>
          <w:rFonts w:eastAsia="Times New Roman"/>
          <w:szCs w:val="24"/>
        </w:rPr>
      </w:pPr>
      <w:r>
        <w:rPr>
          <w:rFonts w:eastAsia="Times New Roman"/>
          <w:szCs w:val="24"/>
        </w:rPr>
        <w:t>a földmunkákkal érintett területen elhelyezkedő, az építési munkákkal veszélyeztetett meglévő Létesítményt,</w:t>
      </w:r>
    </w:p>
    <w:p>
      <w:pPr>
        <w:pStyle w:val="Szvegtrzs"/>
        <w:numPr>
          <w:ilvl w:val="0"/>
          <w:numId w:val="27"/>
        </w:numPr>
        <w:spacing w:before="0" w:after="0"/>
        <w:rPr>
          <w:rFonts w:eastAsia="Times New Roman"/>
          <w:szCs w:val="24"/>
        </w:rPr>
      </w:pPr>
      <w:r>
        <w:rPr>
          <w:rFonts w:eastAsia="Times New Roman"/>
          <w:szCs w:val="24"/>
        </w:rPr>
        <w:t>közlekedési Létesítményt,</w:t>
      </w:r>
    </w:p>
    <w:p>
      <w:pPr>
        <w:pStyle w:val="Szvegtrzs"/>
        <w:numPr>
          <w:ilvl w:val="0"/>
          <w:numId w:val="27"/>
        </w:numPr>
        <w:spacing w:before="0" w:after="0"/>
        <w:rPr>
          <w:rFonts w:eastAsia="Times New Roman"/>
          <w:szCs w:val="24"/>
        </w:rPr>
      </w:pPr>
      <w:r>
        <w:rPr>
          <w:rFonts w:eastAsia="Times New Roman"/>
          <w:szCs w:val="24"/>
        </w:rPr>
        <w:t>közműveket,</w:t>
      </w:r>
    </w:p>
    <w:p>
      <w:pPr>
        <w:pStyle w:val="Szvegtrzs"/>
        <w:numPr>
          <w:ilvl w:val="0"/>
          <w:numId w:val="27"/>
        </w:numPr>
        <w:spacing w:before="0" w:after="0"/>
        <w:rPr>
          <w:rFonts w:eastAsia="Times New Roman"/>
          <w:szCs w:val="24"/>
        </w:rPr>
      </w:pPr>
      <w:r>
        <w:rPr>
          <w:rFonts w:eastAsia="Times New Roman"/>
          <w:szCs w:val="24"/>
        </w:rPr>
        <w:t>utakat.</w:t>
      </w:r>
    </w:p>
    <w:p>
      <w:pPr>
        <w:pStyle w:val="Szvegtrzs"/>
        <w:rPr>
          <w:rFonts w:eastAsia="Times New Roman"/>
          <w:szCs w:val="24"/>
        </w:rPr>
      </w:pPr>
      <w:r>
        <w:rPr>
          <w:rFonts w:eastAsia="Times New Roman"/>
          <w:szCs w:val="24"/>
        </w:rPr>
        <w:t>A terhek, földnyomások számítása során figyelembe kell venni a munkaterület melletti esetleges forgalomból származó dinamikus és statikus terheléseket is.</w:t>
      </w:r>
    </w:p>
    <w:p>
      <w:pPr>
        <w:pStyle w:val="Szvegtrzs"/>
        <w:rPr>
          <w:rFonts w:eastAsia="Times New Roman"/>
          <w:iCs/>
          <w:szCs w:val="24"/>
        </w:rPr>
      </w:pPr>
      <w:r>
        <w:rPr>
          <w:rFonts w:eastAsia="Times New Roman"/>
          <w:iCs/>
          <w:szCs w:val="24"/>
        </w:rPr>
        <w:t>A dúcolat biztosítsa továbbá a megtámasztott földtömeg, vagy építmény állékonyságát, illetve a munkahelyen dolgozók testi épségét, és a kitermelt anyag eltávolíthatóságát a munkaterületről, illetve azt, hogy a kidúcolt munkatérben a munka elvégezhető legyen.</w:t>
      </w:r>
    </w:p>
    <w:p>
      <w:pPr>
        <w:pStyle w:val="Szvegtrzs"/>
        <w:rPr>
          <w:rFonts w:eastAsia="Times New Roman"/>
          <w:szCs w:val="24"/>
        </w:rPr>
      </w:pPr>
      <w:r>
        <w:rPr>
          <w:rFonts w:eastAsia="Times New Roman"/>
          <w:szCs w:val="24"/>
        </w:rPr>
        <w:t>A munkagödör kiemelésénél függőleges falban zártsorú dúcolást kell alkalmazni. A dúcolás végrehajtásakor különösen fontos a már megépített meglévő közművek pontos ismerete. A dúcoláskor a közműkeresztezéseknél kihagyott hézagok vízszintes irányú pallózására is különös gondot kell fordítani a beszivárgó talaj kivédése érdekében. A dúcolásokat folyamatosan ellenőrizni kell, tekintettel a munkaterület melletti dinamikus terhelésre. A vezeték megépítése után a dúcolatok kihúzása fokozatosan, a földvisszatöltéssel megegyező ütemben történjék.</w:t>
      </w:r>
    </w:p>
    <w:p>
      <w:pPr>
        <w:pStyle w:val="Szvegtrzs"/>
        <w:rPr>
          <w:rFonts w:eastAsia="Times New Roman"/>
          <w:szCs w:val="24"/>
        </w:rPr>
      </w:pPr>
      <w:r>
        <w:rPr>
          <w:rFonts w:eastAsia="Times New Roman"/>
          <w:szCs w:val="24"/>
        </w:rPr>
        <w:t>Munkagödör, munkaárok szélét a szakadólapon belül megterhelni csak abban az esetben szabad, ha a dúcolást a terheléstől származó ezen többlet igénybevételre is méretezték. Az árok szélén 0,50 m széles sávot (padkát) mindenképpen szabadon kell hagyni.</w:t>
      </w:r>
    </w:p>
    <w:p>
      <w:pPr>
        <w:pStyle w:val="Szvegtrzs"/>
        <w:rPr>
          <w:rFonts w:eastAsia="Times New Roman"/>
          <w:szCs w:val="24"/>
        </w:rPr>
      </w:pPr>
      <w:r>
        <w:rPr>
          <w:rFonts w:eastAsia="Times New Roman"/>
          <w:szCs w:val="24"/>
        </w:rPr>
        <w:t>A munkaárkot, különösképpen az állékonyságvesztésével a környezetre veszélyt jelentő munkaárkot védeni kell a csapadék káros hatásival szemben. Az intenzív csapadék okozta állékonysági problémák megelőzésére a megfelelő intézkedéseket a Vállalkozónak meg kell tenni.</w:t>
      </w:r>
    </w:p>
    <w:p>
      <w:pPr>
        <w:pStyle w:val="Szvegtrzs"/>
        <w:rPr>
          <w:rFonts w:eastAsia="Times New Roman"/>
          <w:szCs w:val="24"/>
        </w:rPr>
      </w:pPr>
      <w:r>
        <w:rPr>
          <w:rFonts w:eastAsia="Times New Roman"/>
          <w:szCs w:val="24"/>
        </w:rPr>
        <w:t>A dúcokat, dúckereteket közlekedésre, fel- és lejárásra, anyag fel- és leadására használni tilos. A kidúcolt munkaárokba ömlesztett anyagot (pl.: kavicsot, betont, téglát) csak zárt, elmozdulás ellen megfelelően rögzített csúszdában szabad leengedni.</w:t>
      </w:r>
    </w:p>
    <w:p>
      <w:pPr>
        <w:pStyle w:val="Szvegtrzs"/>
        <w:rPr>
          <w:rFonts w:eastAsia="Times New Roman"/>
          <w:szCs w:val="24"/>
        </w:rPr>
      </w:pPr>
      <w:r>
        <w:rPr>
          <w:rFonts w:eastAsia="Times New Roman"/>
          <w:szCs w:val="24"/>
        </w:rPr>
        <w:t>Dúcolással megtámasztott munkaárokban munkát kezdeni, illetve végezni csak akkor szabad, ha előzetesen és időszakosan a dúcolást ellenőrizték, a meglazult feszítő ékeket utána verték, a támcsavarokat utána húzták.</w:t>
      </w:r>
    </w:p>
    <w:p>
      <w:pPr>
        <w:pStyle w:val="Szvegtrzs"/>
        <w:rPr>
          <w:rFonts w:eastAsia="Times New Roman"/>
          <w:szCs w:val="24"/>
        </w:rPr>
      </w:pPr>
      <w:r>
        <w:rPr>
          <w:rFonts w:eastAsia="Times New Roman"/>
          <w:szCs w:val="24"/>
        </w:rPr>
        <w:t>A dúcolást csak a munkagödör, munkaárok betöltésével egyidejűleg, illetve beépítés esetén a szerkezet kellő mértékű megszilárdítása után szabad eltávolítani.</w:t>
      </w:r>
    </w:p>
    <w:p>
      <w:pPr>
        <w:pStyle w:val="Cmsor2"/>
        <w:numPr>
          <w:ilvl w:val="1"/>
          <w:numId w:val="3"/>
        </w:numPr>
        <w:rPr/>
      </w:pPr>
      <w:bookmarkStart w:id="70" w:name="_Toc453756456"/>
      <w:bookmarkStart w:id="71" w:name="_Toc343773418"/>
      <w:bookmarkEnd w:id="70"/>
      <w:bookmarkEnd w:id="71"/>
      <w:r>
        <w:rPr/>
        <w:t>Földvisszatöltés</w:t>
      </w:r>
    </w:p>
    <w:p>
      <w:pPr>
        <w:pStyle w:val="Szvegtrzs"/>
        <w:rPr>
          <w:rFonts w:eastAsia="Times New Roman"/>
          <w:szCs w:val="24"/>
        </w:rPr>
      </w:pPr>
      <w:r>
        <w:rPr>
          <w:rFonts w:eastAsia="Times New Roman"/>
          <w:szCs w:val="24"/>
        </w:rPr>
        <w:t>A visszatöltési munka megkezdése előtt, a munkát közvetlenül irányító vezető köteles a munkaterületet az Építési naplóban átvenni és meggyőződni arról, hogy a Műszaki ellenőr, a műszaki ellenőr, az üzemeltető személyzete a szükséges ellenőrzést elvégezte-e és a visszatöltés megkezdéséhez a Műszaki ellenőr hozzájárult.</w:t>
      </w:r>
    </w:p>
    <w:p>
      <w:pPr>
        <w:pStyle w:val="Szvegtrzs"/>
        <w:rPr>
          <w:rFonts w:eastAsia="Times New Roman"/>
          <w:szCs w:val="24"/>
        </w:rPr>
      </w:pPr>
      <w:r>
        <w:rPr>
          <w:rFonts w:eastAsia="Times New Roman"/>
          <w:szCs w:val="24"/>
        </w:rPr>
        <w:t>Amennyiben a Vállalkozó elmulasztja visszatöltéshez a Műszaki ellenőr engedélyét kérni, az ebből eredő többletmunkákért teljes mértékben felelős.</w:t>
      </w:r>
    </w:p>
    <w:p>
      <w:pPr>
        <w:pStyle w:val="Szvegtrzs"/>
        <w:rPr>
          <w:rFonts w:eastAsia="Times New Roman"/>
          <w:szCs w:val="24"/>
        </w:rPr>
      </w:pPr>
      <w:r>
        <w:rPr>
          <w:rFonts w:eastAsia="Times New Roman"/>
          <w:szCs w:val="24"/>
        </w:rPr>
        <w:t>A visszatöltésre, töltésbe kerülő anyagot karolási távolságon belül, vagy szállítóeszközös mozgatás esetén folyamatosan kell biztosítani. A leborítás helyét a visszatöltést, illetve elteregetést végző dolgozó jelöli ki. A szállítóeszközök részére a megfelelő közlekedő utat biztosítani kell, szükség esetén akadály és csúszásmentessé kell tenni.</w:t>
      </w:r>
    </w:p>
    <w:p>
      <w:pPr>
        <w:pStyle w:val="Szvegtrzs"/>
        <w:rPr>
          <w:rFonts w:eastAsia="Times New Roman"/>
          <w:szCs w:val="24"/>
        </w:rPr>
      </w:pPr>
      <w:r>
        <w:rPr>
          <w:rFonts w:eastAsia="Times New Roman"/>
          <w:szCs w:val="24"/>
        </w:rPr>
        <w:t>Talajvízszint-süllyesztéses munkaterületeken a vízszint süllyesztését csak a visszatöltés befejezése után szabad fokozatosan megszüntetni.</w:t>
      </w:r>
    </w:p>
    <w:p>
      <w:pPr>
        <w:pStyle w:val="Szvegtrzs"/>
        <w:rPr>
          <w:rFonts w:eastAsia="Times New Roman"/>
          <w:szCs w:val="24"/>
        </w:rPr>
      </w:pPr>
      <w:r>
        <w:rPr>
          <w:rFonts w:eastAsia="Times New Roman"/>
          <w:szCs w:val="24"/>
        </w:rPr>
        <w:t>Az esetleges felszíni vizeket úgy kell elvezetni, hogy a víz a közlekedési útvonalak és a földművek használhatóságát, állékonyságát sem építés közben, sem a munka befejezése után ne veszélyeztesse, talajmozgást, talajcsúszást ne okozzon.</w:t>
      </w:r>
    </w:p>
    <w:p>
      <w:pPr>
        <w:pStyle w:val="Szvegtrzs"/>
        <w:rPr>
          <w:rFonts w:eastAsia="Times New Roman"/>
          <w:szCs w:val="24"/>
        </w:rPr>
      </w:pPr>
      <w:r>
        <w:rPr>
          <w:rFonts w:eastAsia="Times New Roman"/>
          <w:szCs w:val="24"/>
        </w:rPr>
        <w:t xml:space="preserve">A visszatöltésnél ügyelni kell a különböző típusú talajok visszatöltési sorrendjére (a kitermelés fordított sorrendjét kell végezni) és a rétegvastagságra. </w:t>
      </w:r>
    </w:p>
    <w:p>
      <w:pPr>
        <w:pStyle w:val="Cmsor3"/>
        <w:numPr>
          <w:ilvl w:val="2"/>
          <w:numId w:val="3"/>
        </w:numPr>
        <w:rPr/>
      </w:pPr>
      <w:bookmarkStart w:id="72" w:name="_Toc453756457"/>
      <w:bookmarkStart w:id="73" w:name="_Toc343773419"/>
      <w:bookmarkEnd w:id="72"/>
      <w:bookmarkEnd w:id="73"/>
      <w:r>
        <w:rPr/>
        <w:t>Földvisszatöltések munkaárokba, munkagödörbe</w:t>
      </w:r>
    </w:p>
    <w:p>
      <w:pPr>
        <w:pStyle w:val="Szvegtrzs"/>
        <w:rPr>
          <w:rFonts w:eastAsia="Times New Roman"/>
          <w:szCs w:val="24"/>
        </w:rPr>
      </w:pPr>
      <w:r>
        <w:rPr>
          <w:rFonts w:eastAsia="Times New Roman"/>
          <w:szCs w:val="24"/>
        </w:rPr>
        <w:t>A visszatöltéshez felhasználandó anyag a műtárgy, vezeték körüli 0,50 m-es környezetben nem tartalmazhat kődarabokat. A feltöltésben a tömörítendő talajt vízszintes síkban kell elteríteni, egyengetni és 0,25 m-nél (agyag esetén 0,20 m-nél) nem vastagabb rétegekben tömöríteni. A tömörítendő talaj nedvességtartalmát szükség esetén szárítással, vagy nedvesítéssel kell szabályozni. A tömörítést csak a talajnem és állapot szerint megfelelő és elfogadott eszközzel, ill. módon szabad végezni.</w:t>
      </w:r>
    </w:p>
    <w:p>
      <w:pPr>
        <w:pStyle w:val="Szvegtrzs"/>
        <w:rPr>
          <w:rFonts w:eastAsia="Times New Roman"/>
          <w:szCs w:val="24"/>
        </w:rPr>
      </w:pPr>
      <w:r>
        <w:rPr>
          <w:rFonts w:eastAsia="Times New Roman"/>
          <w:szCs w:val="24"/>
        </w:rPr>
        <w:t>A megfelelő minőségű kitermelt föld a visszatöltésnél akkor használható fel, ha a Vállalkozó mérésekkel igazolni tudja, hogy a minősége a célra megfelelő. A vizsgálatok költségét a Vállalkozónak kell viselnie.</w:t>
      </w:r>
    </w:p>
    <w:p>
      <w:pPr>
        <w:pStyle w:val="Szvegtrzs"/>
        <w:rPr>
          <w:rFonts w:eastAsia="Times New Roman"/>
          <w:szCs w:val="24"/>
        </w:rPr>
      </w:pPr>
      <w:r>
        <w:rPr>
          <w:rFonts w:eastAsia="Times New Roman"/>
          <w:szCs w:val="24"/>
        </w:rPr>
        <w:t>Amennyiben hatályos szabvány ennél szigorúbb követelményeket nem rögzít, általánosságban olyan talaj használható feltöltéshez, amely:</w:t>
      </w:r>
    </w:p>
    <w:p>
      <w:pPr>
        <w:pStyle w:val="Szvegtrzs"/>
        <w:spacing w:before="0" w:after="0"/>
        <w:ind w:left="708" w:hanging="0"/>
        <w:rPr>
          <w:rFonts w:eastAsia="Times New Roman"/>
          <w:szCs w:val="24"/>
        </w:rPr>
      </w:pPr>
      <w:r>
        <w:rPr>
          <w:rFonts w:eastAsia="Times New Roman"/>
          <w:szCs w:val="24"/>
        </w:rPr>
        <w:t>-</w:t>
        <w:tab/>
        <w:t>száraz térfogatsúlya 1.550 kg/m</w:t>
      </w:r>
      <w:r>
        <w:rPr>
          <w:rFonts w:eastAsia="Times New Roman"/>
          <w:szCs w:val="24"/>
          <w:vertAlign w:val="superscript"/>
        </w:rPr>
        <w:t>3</w:t>
      </w:r>
      <w:r>
        <w:rPr>
          <w:rFonts w:eastAsia="Times New Roman"/>
          <w:szCs w:val="24"/>
        </w:rPr>
        <w:t xml:space="preserve"> </w:t>
      </w:r>
    </w:p>
    <w:p>
      <w:pPr>
        <w:pStyle w:val="Szvegtrzs"/>
        <w:spacing w:before="0" w:after="0"/>
        <w:ind w:left="708" w:hanging="0"/>
        <w:rPr>
          <w:rFonts w:eastAsia="Times New Roman"/>
          <w:szCs w:val="24"/>
        </w:rPr>
      </w:pPr>
      <w:r>
        <w:rPr>
          <w:rFonts w:eastAsia="Times New Roman"/>
          <w:szCs w:val="24"/>
        </w:rPr>
        <w:t>-</w:t>
        <w:tab/>
        <w:t xml:space="preserve">konzisztencia indexe </w:t>
      </w:r>
      <w:r>
        <w:rPr>
          <w:rFonts w:eastAsia="UniversalMath1 BT" w:cs="UniversalMath1 BT" w:ascii="UniversalMath1 BT" w:hAnsi="UniversalMath1 BT"/>
          <w:szCs w:val="24"/>
        </w:rPr>
        <w:t>/</w:t>
      </w:r>
      <w:r>
        <w:rPr>
          <w:rFonts w:eastAsia="Times New Roman"/>
          <w:szCs w:val="24"/>
        </w:rPr>
        <w:t xml:space="preserve"> 0,5 </w:t>
      </w:r>
    </w:p>
    <w:p>
      <w:pPr>
        <w:pStyle w:val="Szvegtrzs"/>
        <w:spacing w:before="0" w:after="0"/>
        <w:ind w:left="708" w:hanging="0"/>
        <w:rPr>
          <w:rFonts w:eastAsia="Times New Roman"/>
          <w:szCs w:val="24"/>
        </w:rPr>
      </w:pPr>
      <w:r>
        <w:rPr>
          <w:rFonts w:eastAsia="Times New Roman"/>
          <w:szCs w:val="24"/>
        </w:rPr>
        <w:t>-</w:t>
        <w:tab/>
        <w:t xml:space="preserve">szerves-anyag tartalma kisebb, mint 3 % </w:t>
      </w:r>
    </w:p>
    <w:p>
      <w:pPr>
        <w:pStyle w:val="Szvegtrzs"/>
        <w:rPr>
          <w:rFonts w:eastAsia="Times New Roman"/>
          <w:szCs w:val="24"/>
        </w:rPr>
      </w:pPr>
      <w:r>
        <w:rPr>
          <w:rFonts w:eastAsia="Times New Roman"/>
          <w:szCs w:val="24"/>
        </w:rPr>
        <w:t>A munkagödörbe, munkaárok nem tölthető vissza:</w:t>
      </w:r>
    </w:p>
    <w:p>
      <w:pPr>
        <w:pStyle w:val="Szvegtrzs"/>
        <w:spacing w:before="0" w:after="0"/>
        <w:ind w:left="708" w:hanging="0"/>
        <w:rPr>
          <w:rFonts w:eastAsia="Times New Roman"/>
          <w:szCs w:val="24"/>
        </w:rPr>
      </w:pPr>
      <w:r>
        <w:rPr>
          <w:rFonts w:eastAsia="Times New Roman"/>
          <w:szCs w:val="24"/>
        </w:rPr>
        <w:t xml:space="preserve">- </w:t>
        <w:tab/>
        <w:t>szerves anyag</w:t>
      </w:r>
    </w:p>
    <w:p>
      <w:pPr>
        <w:pStyle w:val="Szvegtrzs"/>
        <w:spacing w:before="0" w:after="0"/>
        <w:ind w:left="708" w:hanging="0"/>
        <w:rPr>
          <w:rFonts w:eastAsia="Times New Roman"/>
          <w:szCs w:val="24"/>
        </w:rPr>
      </w:pPr>
      <w:r>
        <w:rPr>
          <w:rFonts w:eastAsia="Times New Roman"/>
          <w:szCs w:val="24"/>
        </w:rPr>
        <w:t>-</w:t>
        <w:tab/>
        <w:t>puha agyag, iszap, átázott talaj</w:t>
      </w:r>
    </w:p>
    <w:p>
      <w:pPr>
        <w:pStyle w:val="Szvegtrzs"/>
        <w:spacing w:before="0" w:after="0"/>
        <w:ind w:left="708" w:hanging="0"/>
        <w:rPr>
          <w:rFonts w:eastAsia="Times New Roman"/>
          <w:szCs w:val="24"/>
        </w:rPr>
      </w:pPr>
      <w:r>
        <w:rPr>
          <w:rFonts w:eastAsia="Times New Roman"/>
          <w:szCs w:val="24"/>
        </w:rPr>
        <w:t>-</w:t>
        <w:tab/>
        <w:t>1.550 kg/m</w:t>
      </w:r>
      <w:r>
        <w:rPr>
          <w:rFonts w:eastAsia="Times New Roman"/>
          <w:szCs w:val="24"/>
          <w:vertAlign w:val="superscript"/>
        </w:rPr>
        <w:t>3</w:t>
      </w:r>
      <w:r>
        <w:rPr>
          <w:rFonts w:eastAsia="Times New Roman"/>
          <w:szCs w:val="24"/>
        </w:rPr>
        <w:t xml:space="preserve"> – nél kisebb száraz térfogatsúlyú anyag</w:t>
      </w:r>
    </w:p>
    <w:p>
      <w:pPr>
        <w:pStyle w:val="Szvegtrzs"/>
        <w:spacing w:before="0" w:after="0"/>
        <w:ind w:left="708" w:hanging="0"/>
        <w:rPr>
          <w:rFonts w:eastAsia="Times New Roman"/>
          <w:szCs w:val="24"/>
        </w:rPr>
      </w:pPr>
      <w:r>
        <w:rPr>
          <w:rFonts w:eastAsia="Times New Roman"/>
          <w:szCs w:val="24"/>
        </w:rPr>
        <w:t>-</w:t>
        <w:tab/>
        <w:t>fagyott talaj</w:t>
      </w:r>
    </w:p>
    <w:p>
      <w:pPr>
        <w:pStyle w:val="Szvegtrzs"/>
        <w:spacing w:before="0" w:after="0"/>
        <w:ind w:left="708" w:hanging="0"/>
        <w:rPr>
          <w:rFonts w:eastAsia="Times New Roman"/>
          <w:szCs w:val="24"/>
        </w:rPr>
      </w:pPr>
      <w:r>
        <w:rPr>
          <w:rFonts w:eastAsia="Times New Roman"/>
          <w:szCs w:val="24"/>
        </w:rPr>
        <w:t>-</w:t>
        <w:tab/>
        <w:t>építési törmelék</w:t>
      </w:r>
    </w:p>
    <w:p>
      <w:pPr>
        <w:pStyle w:val="Szvegtrzs"/>
        <w:spacing w:before="0" w:after="0"/>
        <w:ind w:left="708" w:hanging="0"/>
        <w:rPr>
          <w:rFonts w:eastAsia="Times New Roman"/>
          <w:szCs w:val="24"/>
        </w:rPr>
      </w:pPr>
      <w:r>
        <w:rPr>
          <w:rFonts w:eastAsia="Times New Roman"/>
          <w:szCs w:val="24"/>
        </w:rPr>
        <w:t>-</w:t>
        <w:tab/>
        <w:t>hulladék</w:t>
      </w:r>
    </w:p>
    <w:p>
      <w:pPr>
        <w:pStyle w:val="Szvegtrzs"/>
        <w:spacing w:before="0" w:after="0"/>
        <w:ind w:left="708" w:hanging="0"/>
        <w:rPr>
          <w:rFonts w:eastAsia="Times New Roman"/>
          <w:szCs w:val="24"/>
        </w:rPr>
      </w:pPr>
      <w:r>
        <w:rPr>
          <w:rFonts w:eastAsia="Times New Roman"/>
          <w:szCs w:val="24"/>
        </w:rPr>
        <w:t>-</w:t>
        <w:tab/>
        <w:t>olyan anyag, vagy talaj, amely szennyezőanyag tartalmánál fogva szennyezheti a talajt, vagy a talajvizet</w:t>
      </w:r>
    </w:p>
    <w:p>
      <w:pPr>
        <w:pStyle w:val="Szvegtrzs"/>
        <w:rPr>
          <w:rFonts w:eastAsia="Times New Roman"/>
          <w:iCs/>
          <w:szCs w:val="24"/>
        </w:rPr>
      </w:pPr>
      <w:r>
        <w:rPr>
          <w:rFonts w:eastAsia="Times New Roman"/>
          <w:iCs/>
          <w:szCs w:val="24"/>
        </w:rPr>
        <w:t>A visszatöltésre nem kerülő földet a Vállalkozónak el kell szállítania. A kitermelt föld jogilag hulladéknak minősül és a rá vonatkozó jogszabályi előírásokat be kell tartani.</w:t>
      </w:r>
    </w:p>
    <w:p>
      <w:pPr>
        <w:pStyle w:val="Szvegtrzs"/>
        <w:rPr>
          <w:rFonts w:eastAsia="Times New Roman"/>
          <w:szCs w:val="24"/>
        </w:rPr>
      </w:pPr>
      <w:r>
        <w:rPr>
          <w:rFonts w:eastAsia="Times New Roman"/>
          <w:szCs w:val="24"/>
        </w:rPr>
        <w:t xml:space="preserve">A Vállalkozó a megfelelőség tanúsítási követelmények, illetve a Minőség – ellenőrzési terv szerint az előírt gyakorisággal, de minimum 100 méterenként köteles ellenőrizni a visszatöltött talaj, vagy ágyazat tömörségét három rétegben és dokumentálni a vizsgálatok eredményét. </w:t>
      </w:r>
    </w:p>
    <w:p>
      <w:pPr>
        <w:pStyle w:val="Szvegtrzs"/>
        <w:rPr>
          <w:rFonts w:eastAsia="Times New Roman"/>
          <w:szCs w:val="24"/>
        </w:rPr>
      </w:pPr>
      <w:r>
        <w:rPr>
          <w:rFonts w:eastAsia="Times New Roman"/>
          <w:szCs w:val="24"/>
        </w:rPr>
        <w:t xml:space="preserve">A Műszaki ellenőr kérésére a Vállalkozónak bármikor be kell mutatnia a tömörség méréséről szóló jegyzőkönyveket. Ha nem megfelelő a tömörség, akkor a Vállalkozó azonnal köteles a megfelelő tömörséghez szükséges munkálatokat újra elvégezni, és a megfelelő tömörséget méréssel alátámasztani, amelynek költségei őt terhelik. </w:t>
      </w:r>
    </w:p>
    <w:p>
      <w:pPr>
        <w:pStyle w:val="Cmsor3"/>
        <w:numPr>
          <w:ilvl w:val="2"/>
          <w:numId w:val="3"/>
        </w:numPr>
        <w:rPr/>
      </w:pPr>
      <w:bookmarkStart w:id="74" w:name="_Toc453756458"/>
      <w:bookmarkStart w:id="75" w:name="_Toc343773420"/>
      <w:bookmarkEnd w:id="74"/>
      <w:bookmarkEnd w:id="75"/>
      <w:r>
        <w:rPr/>
        <w:t>Töltésépítés, földfeltöltés szállítóeszközről leszórt föld elteregetésével</w:t>
      </w:r>
    </w:p>
    <w:p>
      <w:pPr>
        <w:pStyle w:val="Szvegtrzs"/>
        <w:rPr>
          <w:rFonts w:eastAsia="Times New Roman"/>
          <w:szCs w:val="24"/>
        </w:rPr>
      </w:pPr>
      <w:r>
        <w:rPr>
          <w:rFonts w:eastAsia="Times New Roman"/>
          <w:szCs w:val="24"/>
        </w:rPr>
        <w:t xml:space="preserve">A töltésalapozás után a szállítóeszközzel odaszállított és halmokba leborított töltésépítési anyagot lapáttal, terítőkapával kell elteríteni, a rögök szükség szerinti aprózásával. A rétegvastagság az előírt értéket nem haladhatja meg, az egyes réteget csak az előző réteg tömörítése után szabad elteríteni. </w:t>
      </w:r>
    </w:p>
    <w:p>
      <w:pPr>
        <w:pStyle w:val="Szvegtrzs"/>
        <w:rPr>
          <w:rFonts w:eastAsia="Times New Roman"/>
          <w:szCs w:val="24"/>
        </w:rPr>
      </w:pPr>
      <w:r>
        <w:rPr>
          <w:rFonts w:eastAsia="Times New Roman"/>
          <w:szCs w:val="24"/>
        </w:rPr>
        <w:t xml:space="preserve">A feltöltési anyagba esetleg belekerült gyökereket, egyéb szennyeződést ki kell szedni és összegyűjteni. </w:t>
      </w:r>
    </w:p>
    <w:p>
      <w:pPr>
        <w:pStyle w:val="Szvegtrzs"/>
        <w:rPr>
          <w:rFonts w:eastAsia="Times New Roman"/>
          <w:szCs w:val="24"/>
        </w:rPr>
      </w:pPr>
      <w:r>
        <w:rPr>
          <w:rFonts w:eastAsia="Times New Roman"/>
          <w:szCs w:val="24"/>
        </w:rPr>
        <w:t>A szállítóeszközök ürítését a terítést végző dolgozóknak kell irányítaniuk.</w:t>
      </w:r>
    </w:p>
    <w:p>
      <w:pPr>
        <w:pStyle w:val="Szvegtrzs"/>
        <w:rPr>
          <w:rFonts w:eastAsia="Times New Roman"/>
          <w:szCs w:val="24"/>
        </w:rPr>
      </w:pPr>
      <w:r>
        <w:rPr>
          <w:rFonts w:eastAsia="Times New Roman"/>
          <w:szCs w:val="24"/>
        </w:rPr>
        <w:t>Töltésépítésnél a víz akadálytalan lefolyása érdekében az egyes rétegek terítési szintjét 3-4%-os eséssel kell kialakítani. Ha a töltés anyaga átázott, a megengedettnél nedvesebb réteget el kell távolítani, vagy ki kell szikkasztani.</w:t>
      </w:r>
    </w:p>
    <w:p>
      <w:pPr>
        <w:pStyle w:val="Cmsor3"/>
        <w:numPr>
          <w:ilvl w:val="2"/>
          <w:numId w:val="3"/>
        </w:numPr>
        <w:rPr/>
      </w:pPr>
      <w:bookmarkStart w:id="76" w:name="_Toc453756459"/>
      <w:bookmarkStart w:id="77" w:name="_Toc343773421"/>
      <w:bookmarkEnd w:id="76"/>
      <w:bookmarkEnd w:id="77"/>
      <w:r>
        <w:rPr/>
        <w:t>Tereprendezés</w:t>
      </w:r>
    </w:p>
    <w:p>
      <w:pPr>
        <w:pStyle w:val="Szvegtrzs"/>
        <w:rPr>
          <w:rFonts w:eastAsia="Times New Roman"/>
          <w:szCs w:val="24"/>
        </w:rPr>
      </w:pPr>
      <w:r>
        <w:rPr>
          <w:rFonts w:eastAsia="Times New Roman"/>
          <w:szCs w:val="24"/>
        </w:rPr>
        <w:t xml:space="preserve">Tereprendezés kitűzése legalább 50 x 50 m-es hálózatban álljon rendelkezésre. A hálósan kitűzött terepen benéző-keresztek segítségével pontsűrítést kell végezni legalább 15-20 m-es cövekháló sűrűségre úgy, hogy a cövekek között kihúzott zsinór segítségével a tereprendezés pontos magassága betartható legyen. </w:t>
      </w:r>
    </w:p>
    <w:p>
      <w:pPr>
        <w:pStyle w:val="Szvegtrzs"/>
        <w:rPr>
          <w:rFonts w:eastAsia="Times New Roman"/>
          <w:szCs w:val="24"/>
        </w:rPr>
      </w:pPr>
      <w:r>
        <w:rPr>
          <w:rFonts w:eastAsia="Times New Roman"/>
          <w:szCs w:val="24"/>
        </w:rPr>
        <w:t>A terepkiegyenlítéshez a hiányzó anyagot 20 m-en belül kell biztosítani, a fölösleges földanyag elszállításáról pedig folyamatosan kell gondoskodni. Ha az elvégzendő földmunka a meglévő létesítmények állékonyságát veszélyeztetheti, azok védelméről gondoskodni kell.</w:t>
      </w:r>
    </w:p>
    <w:p>
      <w:pPr>
        <w:pStyle w:val="Cmsor2"/>
        <w:numPr>
          <w:ilvl w:val="1"/>
          <w:numId w:val="3"/>
        </w:numPr>
        <w:rPr/>
      </w:pPr>
      <w:bookmarkStart w:id="78" w:name="_Toc453756460"/>
      <w:bookmarkStart w:id="79" w:name="_Toc343773422"/>
      <w:r>
        <w:rPr/>
        <w:t>Tömörítés</w:t>
      </w:r>
      <w:bookmarkEnd w:id="78"/>
      <w:bookmarkEnd w:id="79"/>
      <w:r>
        <w:rPr/>
        <w:t xml:space="preserve"> </w:t>
      </w:r>
    </w:p>
    <w:p>
      <w:pPr>
        <w:pStyle w:val="Szvegtrzs"/>
        <w:rPr>
          <w:rFonts w:eastAsia="Times New Roman"/>
          <w:szCs w:val="24"/>
        </w:rPr>
      </w:pPr>
      <w:r>
        <w:rPr>
          <w:rFonts w:eastAsia="Times New Roman"/>
          <w:szCs w:val="24"/>
        </w:rPr>
        <w:t>Tömörítés illetve talaj-teherbírás vonatkozásában vonalas és egyéb Létesítménynél egyaránt az adott szerkezetre, vagy termékre vonatkozó hatályos szabványban, vagy a termék beépítési útmutatókban szereplő technológiai előírásokat kell alkalmazni.</w:t>
      </w:r>
    </w:p>
    <w:p>
      <w:pPr>
        <w:pStyle w:val="Szvegtrzs"/>
        <w:rPr>
          <w:rFonts w:eastAsia="Times New Roman"/>
          <w:iCs/>
          <w:szCs w:val="24"/>
        </w:rPr>
      </w:pPr>
      <w:r>
        <w:rPr>
          <w:rFonts w:eastAsia="Times New Roman"/>
          <w:iCs/>
          <w:szCs w:val="24"/>
        </w:rPr>
        <w:t>A talajt gépi tömörítés esetén legfeljebb 0,25 m, kézi esetben legfeljebb 10 cm vastag rétegenként szabad visszatölteni és tömöríteni.</w:t>
      </w:r>
    </w:p>
    <w:p>
      <w:pPr>
        <w:pStyle w:val="Szvegtrzs"/>
        <w:rPr>
          <w:rFonts w:eastAsia="Times New Roman"/>
          <w:szCs w:val="24"/>
        </w:rPr>
      </w:pPr>
      <w:r>
        <w:rPr>
          <w:rFonts w:eastAsia="Times New Roman"/>
          <w:szCs w:val="24"/>
        </w:rPr>
        <w:t>Lefektetett csőcsatornák, vezetékek mellett 50 cm-en belül a tömörítéshez gépi döngölést nem szabad alkalmazni.</w:t>
      </w:r>
    </w:p>
    <w:p>
      <w:pPr>
        <w:pStyle w:val="Szvegtrzs"/>
        <w:rPr>
          <w:rFonts w:eastAsia="Times New Roman"/>
          <w:szCs w:val="24"/>
        </w:rPr>
      </w:pPr>
      <w:r>
        <w:rPr>
          <w:rFonts w:eastAsia="Times New Roman"/>
          <w:iCs/>
          <w:szCs w:val="24"/>
        </w:rPr>
        <w:t>A tömörséget 0,50 m-ként ellenőrizni kell. A visszatöltött földet a szerkezet igényei szerint, a tervező által méretezett mértékben, egyéb előírás híján minimum Tr</w:t>
      </w:r>
      <w:r>
        <w:rPr>
          <w:rFonts w:eastAsia="Symbol" w:cs="Symbol" w:ascii="Symbol" w:hAnsi="Symbol"/>
          <w:iCs/>
          <w:szCs w:val="24"/>
        </w:rPr>
        <w:t>g</w:t>
      </w:r>
      <w:r>
        <w:rPr>
          <w:rFonts w:eastAsia="Times New Roman"/>
          <w:iCs/>
          <w:szCs w:val="24"/>
        </w:rPr>
        <w:t xml:space="preserve"> = 90%-ra tömöríteni kell. A tömörségi fokot szabványban rögzített vizsgálattal kell bizonyítani. A tömörségvizsgálatot csak akkreditált laborral rendelkező minősítő szervezet végezheti, mely vizsgálatról jegyzőkönyvet kell, hogy készüljön. </w:t>
      </w:r>
      <w:r>
        <w:rPr>
          <w:rFonts w:eastAsia="Times New Roman"/>
          <w:szCs w:val="24"/>
        </w:rPr>
        <w:t>Megrendelő és Műszaki ellenőr jogosult ellenőrzési pont kijelölésére.</w:t>
      </w:r>
    </w:p>
    <w:p>
      <w:pPr>
        <w:pStyle w:val="Szvegtrzs"/>
        <w:rPr>
          <w:rFonts w:eastAsia="Times New Roman"/>
          <w:szCs w:val="24"/>
        </w:rPr>
      </w:pPr>
      <w:r>
        <w:rPr>
          <w:rFonts w:eastAsia="Times New Roman"/>
          <w:szCs w:val="24"/>
        </w:rPr>
        <w:t xml:space="preserve">Fel kell tárni a tömörítés hatókörnyezetébe eső vezetékek, egyéb létesítmények helyét és fontosságuknak megfelelő mértékben kell gondoskodni védelmükről. </w:t>
      </w:r>
    </w:p>
    <w:p>
      <w:pPr>
        <w:pStyle w:val="Szvegtrzs"/>
        <w:rPr>
          <w:rFonts w:eastAsia="Times New Roman"/>
          <w:szCs w:val="24"/>
        </w:rPr>
      </w:pPr>
      <w:r>
        <w:rPr>
          <w:rFonts w:eastAsia="Times New Roman"/>
          <w:szCs w:val="24"/>
        </w:rPr>
        <w:t xml:space="preserve">Olyan tömörítő eszköz nem alkalmazható, amely tömegénél fogva akár az épített létesítményben, akár a gödör, vagy árok állékonyságában, dúcolatában, akár a tömörítés környezetében lévő korábbi építményekben kárt okozhat. </w:t>
      </w:r>
    </w:p>
    <w:p>
      <w:pPr>
        <w:pStyle w:val="Szvegtrzs"/>
        <w:rPr>
          <w:rFonts w:eastAsia="Times New Roman"/>
          <w:szCs w:val="24"/>
        </w:rPr>
      </w:pPr>
      <w:r>
        <w:rPr>
          <w:rFonts w:eastAsia="Times New Roman"/>
          <w:szCs w:val="24"/>
        </w:rPr>
        <w:t>A talajnak tömörítéséhez szükséges optimális víztartalmát laboratóriumi kísérletek alapján kell meghatározni, ezt a kivitelezés során mindenkor biztosítani kell, vizes talaj egyáltalán nem tömöríthető.</w:t>
      </w:r>
    </w:p>
    <w:p>
      <w:pPr>
        <w:pStyle w:val="Szvegtrzs"/>
        <w:rPr>
          <w:rFonts w:eastAsia="Times New Roman"/>
          <w:szCs w:val="24"/>
        </w:rPr>
      </w:pPr>
      <w:r>
        <w:rPr>
          <w:rFonts w:eastAsia="Times New Roman"/>
          <w:szCs w:val="24"/>
        </w:rPr>
        <w:t>A tömörítő eszköz alapján megszabott járatszámot, ütésszámot be kell tartani, azt a lehető leggyakrabban ellenőrizni kell.</w:t>
      </w:r>
    </w:p>
    <w:p>
      <w:pPr>
        <w:pStyle w:val="Szvegtrzs"/>
        <w:rPr>
          <w:rFonts w:eastAsia="Times New Roman"/>
          <w:szCs w:val="24"/>
        </w:rPr>
      </w:pPr>
      <w:r>
        <w:rPr>
          <w:rFonts w:eastAsia="Times New Roman"/>
          <w:szCs w:val="24"/>
        </w:rPr>
        <w:t>Töltések, feltöltések szélének, rézsűinek tömörítésére különös gondot kell fordítani, mert a hiányos tömörítés töltés meghibásodáshoz vezet. A tömörítés ezeken a helyeken lépcsősen kialakított formában történhet.</w:t>
      </w:r>
    </w:p>
    <w:p>
      <w:pPr>
        <w:pStyle w:val="Szvegtrzs"/>
        <w:rPr>
          <w:rFonts w:eastAsia="Times New Roman"/>
          <w:szCs w:val="24"/>
        </w:rPr>
      </w:pPr>
      <w:r>
        <w:rPr>
          <w:rFonts w:eastAsia="Times New Roman"/>
          <w:szCs w:val="24"/>
        </w:rPr>
        <w:t>Gépi tömörítés esetén a különböző tömörítő hengerek közül az alkalmazandó típust a tömörítendő talaj típusa és állapota, a tömörítés mélysége és a rendelkezésre álló munkaterület nagysága alapján lehet kiválasztani.</w:t>
      </w:r>
    </w:p>
    <w:p>
      <w:pPr>
        <w:pStyle w:val="Szvegtrzs"/>
        <w:rPr>
          <w:rFonts w:eastAsia="Times New Roman"/>
          <w:szCs w:val="24"/>
          <w:u w:val="single"/>
        </w:rPr>
      </w:pPr>
      <w:r>
        <w:rPr>
          <w:rFonts w:eastAsia="Times New Roman"/>
          <w:szCs w:val="24"/>
          <w:u w:val="single"/>
        </w:rPr>
        <w:t>Egyéb feltételek:</w:t>
      </w:r>
    </w:p>
    <w:p>
      <w:pPr>
        <w:pStyle w:val="Szvegtrzs"/>
        <w:numPr>
          <w:ilvl w:val="0"/>
          <w:numId w:val="28"/>
        </w:numPr>
        <w:spacing w:before="0" w:after="0"/>
        <w:ind w:left="714" w:hanging="357"/>
        <w:rPr>
          <w:rFonts w:eastAsia="Times New Roman"/>
          <w:szCs w:val="24"/>
        </w:rPr>
      </w:pPr>
      <w:r>
        <w:rPr>
          <w:rFonts w:eastAsia="Times New Roman"/>
          <w:szCs w:val="24"/>
        </w:rPr>
        <w:t>A folyamatos munkavégzéshez szükséges szabad munkaterület álljon rendelkezésre. A földvisszatöltés, tereprendezés, illetve a földfelület egyengetése ne akadályozza a tömörítő henger(ek) munkáját.</w:t>
      </w:r>
    </w:p>
    <w:p>
      <w:pPr>
        <w:pStyle w:val="Szvegtrzs"/>
        <w:numPr>
          <w:ilvl w:val="0"/>
          <w:numId w:val="28"/>
        </w:numPr>
        <w:spacing w:before="0" w:after="0"/>
        <w:ind w:left="714" w:hanging="357"/>
        <w:rPr>
          <w:rFonts w:eastAsia="Times New Roman"/>
          <w:szCs w:val="24"/>
        </w:rPr>
      </w:pPr>
      <w:r>
        <w:rPr>
          <w:rFonts w:eastAsia="Times New Roman"/>
          <w:szCs w:val="24"/>
        </w:rPr>
        <w:t xml:space="preserve">A tömörítési munka megkívánt tömörségi fokának nagyságát a tervező írja elő, amelyhez meg kell határozni a tömörítő munka mennyiségét, az alkalmazandó géptípust, járatszámot, földterítési vastagságot. </w:t>
      </w:r>
    </w:p>
    <w:p>
      <w:pPr>
        <w:pStyle w:val="Szvegtrzs"/>
        <w:numPr>
          <w:ilvl w:val="0"/>
          <w:numId w:val="28"/>
        </w:numPr>
        <w:spacing w:before="0" w:after="0"/>
        <w:ind w:left="714" w:hanging="357"/>
        <w:rPr>
          <w:rFonts w:eastAsia="Times New Roman"/>
          <w:szCs w:val="24"/>
        </w:rPr>
      </w:pPr>
      <w:r>
        <w:rPr>
          <w:rFonts w:eastAsia="Times New Roman"/>
          <w:szCs w:val="24"/>
        </w:rPr>
        <w:t>A mennyiségi és minőségi előírások betartásán túl figyelemmel kell lenni arra, hogy a munkaárok, munkagödör, vagy földmű tömörítése a közelben levő építmények, föld- művek és dúcolatok állagát, állékonyságát ne veszélyeztesse, a munkavégzés egyéb zavaró körülménye - terepszint alatti szilárd tárgyak, üregek - ellenére ne következzen be baleset, géptörés, üzemzavar vagy egyéb kár.</w:t>
      </w:r>
    </w:p>
    <w:p>
      <w:pPr>
        <w:pStyle w:val="Szvegtrzs"/>
        <w:numPr>
          <w:ilvl w:val="0"/>
          <w:numId w:val="28"/>
        </w:numPr>
        <w:spacing w:before="0" w:after="0"/>
        <w:ind w:left="714" w:hanging="357"/>
        <w:rPr>
          <w:rFonts w:eastAsia="Times New Roman"/>
          <w:szCs w:val="24"/>
        </w:rPr>
      </w:pPr>
      <w:r>
        <w:rPr>
          <w:rFonts w:eastAsia="Times New Roman"/>
          <w:szCs w:val="24"/>
        </w:rPr>
        <w:t>Ha a természetes világítás nem megfelelő a biztonságos és megfelelő minőségű munkavégzéshez legalább 20-75 lux erősségű általános megvilágítást kell biztosítani.</w:t>
      </w:r>
    </w:p>
    <w:p>
      <w:pPr>
        <w:pStyle w:val="Szvegtrzs"/>
        <w:numPr>
          <w:ilvl w:val="0"/>
          <w:numId w:val="28"/>
        </w:numPr>
        <w:spacing w:before="0" w:after="0"/>
        <w:ind w:left="714" w:hanging="357"/>
        <w:rPr>
          <w:rFonts w:eastAsia="Times New Roman"/>
          <w:szCs w:val="24"/>
        </w:rPr>
      </w:pPr>
      <w:r>
        <w:rPr>
          <w:rFonts w:eastAsia="Times New Roman"/>
          <w:szCs w:val="24"/>
        </w:rPr>
        <w:t xml:space="preserve">Több műszakban történő munkavégzés esetén a durvább tömörítési fázisokat mesterséges, a finomító, méretre igazító fázisokat pedig a nappali, természetes világítás mellett kell elvégezni. </w:t>
      </w:r>
    </w:p>
    <w:p>
      <w:pPr>
        <w:pStyle w:val="Szvegtrzs"/>
        <w:numPr>
          <w:ilvl w:val="0"/>
          <w:numId w:val="28"/>
        </w:numPr>
        <w:spacing w:before="0" w:after="0"/>
        <w:ind w:left="714" w:hanging="357"/>
        <w:rPr>
          <w:rFonts w:eastAsia="Times New Roman"/>
          <w:szCs w:val="24"/>
        </w:rPr>
      </w:pPr>
      <w:r>
        <w:rPr>
          <w:rFonts w:eastAsia="Times New Roman"/>
          <w:szCs w:val="24"/>
        </w:rPr>
        <w:t>Ha több munkagép egyidejűleg azonos területen végez munkát, irányító felügyeletről kell gondoskodni és a munkahelyen megfelelő közlekedési rendet kell kialakítani.</w:t>
      </w:r>
    </w:p>
    <w:p>
      <w:pPr>
        <w:pStyle w:val="Szvegtrzs"/>
        <w:numPr>
          <w:ilvl w:val="0"/>
          <w:numId w:val="28"/>
        </w:numPr>
        <w:spacing w:before="0" w:after="0"/>
        <w:ind w:left="714" w:hanging="357"/>
        <w:rPr>
          <w:rFonts w:eastAsia="Times New Roman"/>
          <w:szCs w:val="24"/>
        </w:rPr>
      </w:pPr>
      <w:r>
        <w:rPr>
          <w:rFonts w:eastAsia="Times New Roman"/>
          <w:szCs w:val="24"/>
        </w:rPr>
        <w:t>Csapadékos időben vagy csapadéktól átázott, havas-fagyos talaj esetén tömörítési munka csak abban az esetben végezhető, ha a tömörítési igény még elérhető (víztartalom, talajtípus és szemcseszerkezet függvényében állapítható meg a tömöríthetőség), illetőleg a munkagép talajfelszínen maradása biztosított.</w:t>
      </w:r>
    </w:p>
    <w:p>
      <w:pPr>
        <w:pStyle w:val="Szvegtrzs"/>
        <w:numPr>
          <w:ilvl w:val="0"/>
          <w:numId w:val="28"/>
        </w:numPr>
        <w:spacing w:before="0" w:after="0"/>
        <w:ind w:left="714" w:hanging="357"/>
        <w:rPr>
          <w:rFonts w:eastAsia="Times New Roman"/>
          <w:szCs w:val="24"/>
        </w:rPr>
      </w:pPr>
      <w:r>
        <w:rPr>
          <w:rFonts w:eastAsia="Times New Roman"/>
          <w:szCs w:val="24"/>
        </w:rPr>
        <w:t>Az előírt rétegvastagságban egyenletesen elterített talaj felületén, a tömörítendő felület szélére kell állni a tömörítő hengerrel, majd a terv szerint előírt vagy a munkavezető által meg- határozott sebességgel a tömörítendő felület hosszabb oldalával párhuzamosan meg kell kezdeni a tömörítést.</w:t>
      </w:r>
    </w:p>
    <w:p>
      <w:pPr>
        <w:pStyle w:val="Szvegtrzs"/>
        <w:numPr>
          <w:ilvl w:val="0"/>
          <w:numId w:val="28"/>
        </w:numPr>
        <w:spacing w:before="0" w:after="0"/>
        <w:ind w:left="714" w:hanging="357"/>
        <w:rPr>
          <w:rFonts w:eastAsia="Times New Roman"/>
          <w:szCs w:val="24"/>
        </w:rPr>
      </w:pPr>
      <w:r>
        <w:rPr>
          <w:rFonts w:eastAsia="Times New Roman"/>
          <w:szCs w:val="24"/>
        </w:rPr>
        <w:t>A tömörség fokának meghatározását szabványosított ellenőrző vizsgálatokkal dokumentáltan kell végrehajtani, az előírt módszer és gyakoriság betartásával.</w:t>
      </w:r>
    </w:p>
    <w:p>
      <w:pPr>
        <w:pStyle w:val="Szvegtrzs"/>
        <w:numPr>
          <w:ilvl w:val="0"/>
          <w:numId w:val="28"/>
        </w:numPr>
        <w:spacing w:before="0" w:after="0"/>
        <w:ind w:left="714" w:hanging="357"/>
        <w:rPr>
          <w:rFonts w:eastAsia="Times New Roman"/>
          <w:szCs w:val="24"/>
        </w:rPr>
      </w:pPr>
      <w:r>
        <w:rPr>
          <w:rFonts w:eastAsia="Times New Roman"/>
          <w:szCs w:val="24"/>
        </w:rPr>
        <w:t>Szükség szerint ellenőrizni kell a felület hullámosságát hullámellenőrző léccel és kézi vagy gépi igazítással a megkívánt egyenletességet el kell érni.</w:t>
      </w:r>
    </w:p>
    <w:p>
      <w:pPr>
        <w:pStyle w:val="Szvegtrzs"/>
        <w:numPr>
          <w:ilvl w:val="0"/>
          <w:numId w:val="29"/>
        </w:numPr>
        <w:spacing w:before="0" w:after="0"/>
        <w:ind w:left="714" w:hanging="357"/>
        <w:rPr>
          <w:rFonts w:eastAsia="Times New Roman"/>
          <w:szCs w:val="24"/>
        </w:rPr>
      </w:pPr>
      <w:r>
        <w:rPr>
          <w:rFonts w:eastAsia="Times New Roman"/>
          <w:szCs w:val="24"/>
        </w:rPr>
        <w:t>A munkaterületen levő védett létesítmények, tereptárgyak - vezeték, építmény, élőfa stb. - nem károsíthatók.</w:t>
      </w:r>
    </w:p>
    <w:p>
      <w:pPr>
        <w:pStyle w:val="Szvegtrzs"/>
        <w:rPr>
          <w:rFonts w:eastAsia="Times New Roman"/>
          <w:szCs w:val="24"/>
        </w:rPr>
      </w:pPr>
      <w:r>
        <w:rPr>
          <w:rFonts w:eastAsia="Times New Roman"/>
          <w:szCs w:val="24"/>
        </w:rPr>
        <w:t xml:space="preserve">A domborzati viszonyokra tekintettel a felszíni tereprendezést és tömörítést az eredeti lejtésviszonyok megtartásával, a felszínen (zöldfelületen) </w:t>
      </w:r>
      <w:r>
        <w:rPr>
          <w:rFonts w:eastAsia="Times New Roman"/>
          <w:iCs/>
          <w:szCs w:val="24"/>
        </w:rPr>
        <w:t>minimum Tr</w:t>
      </w:r>
      <w:r>
        <w:rPr>
          <w:rFonts w:eastAsia="Symbol" w:cs="Symbol" w:ascii="Symbol" w:hAnsi="Symbol"/>
          <w:iCs/>
          <w:szCs w:val="24"/>
        </w:rPr>
        <w:t>g</w:t>
      </w:r>
      <w:r>
        <w:rPr>
          <w:rFonts w:eastAsia="Times New Roman"/>
          <w:iCs/>
          <w:szCs w:val="24"/>
        </w:rPr>
        <w:t xml:space="preserve"> = 90%-ra kell tömöríteni. </w:t>
      </w:r>
    </w:p>
    <w:p>
      <w:pPr>
        <w:pStyle w:val="Cmsor2"/>
        <w:numPr>
          <w:ilvl w:val="1"/>
          <w:numId w:val="3"/>
        </w:numPr>
        <w:rPr/>
      </w:pPr>
      <w:bookmarkStart w:id="80" w:name="_Toc453756461"/>
      <w:bookmarkStart w:id="81" w:name="_Toc343773423"/>
      <w:bookmarkEnd w:id="80"/>
      <w:bookmarkEnd w:id="81"/>
      <w:r>
        <w:rPr/>
        <w:t>Víztelenítés, vízelvezetés, talajvízszint-süllyesztés</w:t>
      </w:r>
    </w:p>
    <w:p>
      <w:pPr>
        <w:pStyle w:val="Szvegtrzs"/>
        <w:rPr>
          <w:rFonts w:eastAsia="Times New Roman"/>
          <w:szCs w:val="24"/>
        </w:rPr>
      </w:pPr>
      <w:r>
        <w:rPr>
          <w:rFonts w:eastAsia="Times New Roman"/>
          <w:szCs w:val="24"/>
        </w:rPr>
        <w:t xml:space="preserve">A víztelenítő rendszer feladata, hogy a munkálatok alatt tartsa távol a talajvizet, vagy egyéb vizeket a munkaároktól, munkagödörtől. </w:t>
      </w:r>
    </w:p>
    <w:p>
      <w:pPr>
        <w:pStyle w:val="Szvegtrzs"/>
        <w:rPr>
          <w:rFonts w:eastAsia="Times New Roman"/>
          <w:szCs w:val="24"/>
        </w:rPr>
      </w:pPr>
      <w:r>
        <w:rPr>
          <w:rFonts w:eastAsia="Times New Roman"/>
          <w:szCs w:val="24"/>
        </w:rPr>
        <w:t xml:space="preserve">A munkatér víztelenítését, illetve a talajvízszint-süllyesztést a Vállalkozó által elvégzett részletes talajmechanikai, illetve geotechnikai vizsgálat paraméterei alapján, az építési folyamatok során megvalósítandó minimális munkavédelmi követelményekről szóló 4/2002. (II. 20.) SzCsM-EüM együttes rendelet előírásait figyelembe véve meg kell terveznie, a kiviteli dokumentáció részeként be kell nyújtani a Műszaki ellenőrnek. Víztelenítés csak a Műszaki ellenőr által jóváhagyott terv alapján folyhat. </w:t>
      </w:r>
    </w:p>
    <w:p>
      <w:pPr>
        <w:pStyle w:val="Szvegtrzs"/>
        <w:rPr>
          <w:rFonts w:eastAsia="Times New Roman"/>
          <w:szCs w:val="24"/>
        </w:rPr>
      </w:pPr>
      <w:r>
        <w:rPr>
          <w:rFonts w:eastAsia="Times New Roman"/>
          <w:szCs w:val="24"/>
        </w:rPr>
        <w:t>A talajvíztelenítési munkák előtt állapotfelvételi dokumentációt kell készíteni (digitális fénykép, illetve film) különös tekintettel azokon a területeken, ahol a közcsatorna nyomvonalvezetésénél az MSZ 7487/2-80 szabványban foglaltakat nem lehet biztosítani (épülethez, kerítéshez közel halad a csatorna), valamint ahol talajvízszint süllyesztést kell végezni.</w:t>
      </w:r>
    </w:p>
    <w:p>
      <w:pPr>
        <w:pStyle w:val="Szvegtrzs"/>
        <w:rPr>
          <w:rFonts w:eastAsia="Times New Roman"/>
          <w:szCs w:val="24"/>
        </w:rPr>
      </w:pPr>
      <w:r>
        <w:rPr>
          <w:rFonts w:eastAsia="Times New Roman"/>
          <w:szCs w:val="24"/>
        </w:rPr>
        <w:t>A víztelenítés nem okozhat károkat a környező építményekben, műtárgyakban és nem veszélyeztetheti a földmunka biztonságát, épségét.</w:t>
      </w:r>
    </w:p>
    <w:p>
      <w:pPr>
        <w:pStyle w:val="Szvegtrzs"/>
        <w:rPr>
          <w:rFonts w:eastAsia="Times New Roman"/>
          <w:szCs w:val="24"/>
        </w:rPr>
      </w:pPr>
      <w:r>
        <w:rPr>
          <w:rFonts w:eastAsia="Times New Roman"/>
          <w:szCs w:val="24"/>
        </w:rPr>
        <w:t>A kitermelt vizek befogadójának nyilatkozatát a Vállalkozónak a terv közműegyeztetésekor be kell szerezni.</w:t>
      </w:r>
    </w:p>
    <w:p>
      <w:pPr>
        <w:pStyle w:val="Szvegtrzs"/>
        <w:rPr>
          <w:rFonts w:eastAsia="Times New Roman"/>
          <w:iCs/>
          <w:szCs w:val="24"/>
        </w:rPr>
      </w:pPr>
      <w:r>
        <w:rPr>
          <w:rFonts w:eastAsia="Times New Roman"/>
          <w:iCs/>
          <w:szCs w:val="24"/>
        </w:rPr>
        <w:t>A víztelenítésre kerülő munkaterületen összefüggő víztükör a víztelenítéskor nem jelentkezhet. A víztelenítés következtében a talajban káros kiüregelések és fellazulások sem keletkezhetnek.</w:t>
      </w:r>
    </w:p>
    <w:p>
      <w:pPr>
        <w:pStyle w:val="Szvegtrzs"/>
        <w:rPr>
          <w:rFonts w:eastAsia="Times New Roman"/>
          <w:iCs/>
          <w:szCs w:val="24"/>
        </w:rPr>
      </w:pPr>
      <w:r>
        <w:rPr>
          <w:rFonts w:eastAsia="Times New Roman"/>
          <w:iCs/>
          <w:szCs w:val="24"/>
        </w:rPr>
        <w:t>A Vállalkozónak a víztelenítés tervezésekor meg kell győződnie arról, hogy:</w:t>
      </w:r>
    </w:p>
    <w:p>
      <w:pPr>
        <w:pStyle w:val="Szvegtrzs"/>
        <w:numPr>
          <w:ilvl w:val="0"/>
          <w:numId w:val="27"/>
        </w:numPr>
        <w:spacing w:before="0" w:after="0"/>
        <w:rPr>
          <w:rFonts w:eastAsia="Times New Roman"/>
          <w:szCs w:val="24"/>
        </w:rPr>
      </w:pPr>
      <w:r>
        <w:rPr>
          <w:rFonts w:eastAsia="Times New Roman"/>
          <w:szCs w:val="24"/>
        </w:rPr>
        <w:t>milyen talajvízszintek várhatók az építkezés ideje alatt,</w:t>
      </w:r>
    </w:p>
    <w:p>
      <w:pPr>
        <w:pStyle w:val="Szvegtrzs"/>
        <w:numPr>
          <w:ilvl w:val="0"/>
          <w:numId w:val="27"/>
        </w:numPr>
        <w:spacing w:before="0" w:after="0"/>
        <w:rPr>
          <w:rFonts w:eastAsia="Times New Roman"/>
          <w:szCs w:val="24"/>
        </w:rPr>
      </w:pPr>
      <w:r>
        <w:rPr>
          <w:rFonts w:eastAsia="Times New Roman"/>
          <w:szCs w:val="24"/>
        </w:rPr>
        <w:t>a várható talajvízszintek a terepszint alatt vagy a terepszinten vannak,</w:t>
      </w:r>
    </w:p>
    <w:p>
      <w:pPr>
        <w:pStyle w:val="Szvegtrzs"/>
        <w:numPr>
          <w:ilvl w:val="0"/>
          <w:numId w:val="27"/>
        </w:numPr>
        <w:spacing w:before="0" w:after="0"/>
        <w:rPr>
          <w:rFonts w:eastAsia="Times New Roman"/>
          <w:szCs w:val="24"/>
        </w:rPr>
      </w:pPr>
      <w:r>
        <w:rPr>
          <w:rFonts w:eastAsia="Times New Roman"/>
          <w:szCs w:val="24"/>
        </w:rPr>
        <w:t>milyen áramlások és vízszintek várhatók,</w:t>
      </w:r>
    </w:p>
    <w:p>
      <w:pPr>
        <w:pStyle w:val="Szvegtrzs"/>
        <w:numPr>
          <w:ilvl w:val="0"/>
          <w:numId w:val="27"/>
        </w:numPr>
        <w:spacing w:before="0" w:after="0"/>
        <w:rPr>
          <w:rFonts w:eastAsia="Times New Roman"/>
          <w:szCs w:val="24"/>
        </w:rPr>
      </w:pPr>
      <w:r>
        <w:rPr>
          <w:rFonts w:eastAsia="Times New Roman"/>
          <w:szCs w:val="24"/>
        </w:rPr>
        <w:t>milyen a talaj és az altalaj állapota,</w:t>
      </w:r>
    </w:p>
    <w:p>
      <w:pPr>
        <w:pStyle w:val="Szvegtrzs"/>
        <w:rPr>
          <w:rFonts w:eastAsia="Times New Roman"/>
          <w:iCs/>
          <w:szCs w:val="24"/>
        </w:rPr>
      </w:pPr>
      <w:r>
        <w:rPr>
          <w:rFonts w:eastAsia="Times New Roman"/>
          <w:iCs/>
          <w:szCs w:val="24"/>
        </w:rPr>
        <w:t>A Vállalkozónak minden óvintézkedést meg kell tennie, hogy megelőzze a munkaterület, illetve a Létesítmény bármely részének csapadékvízzel történő elöntését, és saját költségére kell minden veszteséget vagy kárt pótolnia, ill. kijavítania.</w:t>
      </w:r>
    </w:p>
    <w:p>
      <w:pPr>
        <w:pStyle w:val="Szvegtrzs"/>
        <w:rPr>
          <w:rFonts w:eastAsia="Times New Roman"/>
          <w:iCs/>
          <w:szCs w:val="24"/>
        </w:rPr>
      </w:pPr>
      <w:r>
        <w:rPr>
          <w:rFonts w:eastAsia="Times New Roman"/>
          <w:iCs/>
          <w:szCs w:val="24"/>
        </w:rPr>
        <w:t>A víztelenítés folyamatosságát, és a víztelenítéshez szükséges berendezéseket a Vállalkozónak kell biztosítania.</w:t>
      </w:r>
    </w:p>
    <w:p>
      <w:pPr>
        <w:pStyle w:val="Szvegtrzs"/>
        <w:rPr>
          <w:rFonts w:eastAsia="Times New Roman"/>
          <w:szCs w:val="24"/>
        </w:rPr>
      </w:pPr>
      <w:r>
        <w:rPr>
          <w:rFonts w:eastAsia="Times New Roman"/>
          <w:szCs w:val="24"/>
        </w:rPr>
        <w:t>Terhelésnek kitett földmunka víz alatt csak külön előírások mellett építhető. Nagytömegű gépi földmunka esetében a munka közbeni vízelvezetéssel kapcsolatos intézkedések a munka végre- hajtásának sebességétől függenek. Ha váratlan esőzés következtében a földmű átnedvesedik, akkor az elázott részt el kell távolítani, vagy ki kell szikkasztani.</w:t>
      </w:r>
    </w:p>
    <w:p>
      <w:pPr>
        <w:pStyle w:val="Szvegtrzs"/>
        <w:rPr>
          <w:rFonts w:eastAsia="Times New Roman"/>
          <w:szCs w:val="24"/>
        </w:rPr>
      </w:pPr>
      <w:r>
        <w:rPr>
          <w:rFonts w:eastAsia="Times New Roman"/>
          <w:szCs w:val="24"/>
        </w:rPr>
        <w:t>A kiemelt úttükör elázását szivárgók építése útján kell megakadályozni</w:t>
      </w:r>
    </w:p>
    <w:p>
      <w:pPr>
        <w:pStyle w:val="Szvegtrzs"/>
        <w:rPr>
          <w:rFonts w:eastAsia="Times New Roman"/>
          <w:szCs w:val="24"/>
        </w:rPr>
      </w:pPr>
      <w:r>
        <w:rPr>
          <w:rFonts w:eastAsia="Times New Roman"/>
          <w:szCs w:val="24"/>
        </w:rPr>
        <w:t>Vonalas létesítmény földmunkájának koronáját és padkáit 4-6 %-os oldaleséssel kell kiképezni.</w:t>
      </w:r>
    </w:p>
    <w:p>
      <w:pPr>
        <w:pStyle w:val="Szvegtrzs"/>
        <w:rPr>
          <w:rFonts w:eastAsia="Times New Roman"/>
          <w:szCs w:val="24"/>
        </w:rPr>
      </w:pPr>
      <w:r>
        <w:rPr>
          <w:rFonts w:eastAsia="Times New Roman"/>
          <w:szCs w:val="24"/>
        </w:rPr>
        <w:t>A bevágások rézsűjét - szükség esetén - a rézsű felett elhelyezett övárokkal kell megvédeni a felszíni víztől. Az övárkot oly távolságra kell helyezni, hogy az a rézsű állékonyságát ne veszélyeztesse. A rézsűket a felszíni víz erodáló hatásával szemben gyepburkolással, cserjésítéssel, az állandó kimosásnak kitett helyeket pedig burkolt surrantók létesítése útján kell megvédeni.</w:t>
      </w:r>
    </w:p>
    <w:p>
      <w:pPr>
        <w:pStyle w:val="Szvegtrzs"/>
        <w:rPr>
          <w:rFonts w:eastAsia="Times New Roman"/>
          <w:szCs w:val="24"/>
        </w:rPr>
      </w:pPr>
      <w:r>
        <w:rPr>
          <w:rFonts w:eastAsia="Times New Roman"/>
          <w:szCs w:val="24"/>
        </w:rPr>
        <w:t>A rétegvizet megszakító szivárgó építésével kell a földmunkától távoltartani.</w:t>
      </w:r>
    </w:p>
    <w:p>
      <w:pPr>
        <w:pStyle w:val="Szvegtrzs"/>
        <w:rPr>
          <w:rFonts w:eastAsia="Times New Roman"/>
          <w:szCs w:val="24"/>
        </w:rPr>
      </w:pPr>
      <w:r>
        <w:rPr>
          <w:rFonts w:eastAsia="Times New Roman"/>
          <w:szCs w:val="24"/>
        </w:rPr>
        <w:t>A Vállalkozónak kell gondoskodnia arról, hogy a víztelenítő rendszer megfelelően méretezett és alkalmas legyen a víztelenítésre anélkül, hogy bármilyen károsodást okozna a környező talajban, szomszédos épület-, illetve építményszerkezetekben.</w:t>
      </w:r>
    </w:p>
    <w:p>
      <w:pPr>
        <w:pStyle w:val="Szvegtrzs"/>
        <w:rPr>
          <w:rFonts w:eastAsia="Times New Roman"/>
          <w:szCs w:val="24"/>
        </w:rPr>
      </w:pPr>
      <w:r>
        <w:rPr>
          <w:rFonts w:eastAsia="Times New Roman"/>
          <w:szCs w:val="24"/>
        </w:rPr>
        <w:t>A víztelenítéshez szükséges földmunkák, a víz összegyűjtése, a csővezetékek, a szerelvények, a homokfogók és a tartalékkapacitás, valamint az üzemeltetés és annak költségei a Vállalkozót terhelik.</w:t>
      </w:r>
    </w:p>
    <w:p>
      <w:pPr>
        <w:pStyle w:val="Szvegtrzs"/>
        <w:rPr>
          <w:rFonts w:eastAsia="Times New Roman"/>
          <w:szCs w:val="24"/>
        </w:rPr>
      </w:pPr>
      <w:r>
        <w:rPr>
          <w:rFonts w:eastAsia="Times New Roman"/>
          <w:szCs w:val="24"/>
        </w:rPr>
        <w:t>A Vállalkozó kötelessége, hogy pontosan meghatározza a víztelenítő rendszer paramétereit. A választott víztelenítés módjától függetlenül a Vállalkozónak gondoskodnia kell arról, hogy megfelelő tartalék berendezés, felszerelés, alkatrészek a helyszínen rendelkezésre álljanak.</w:t>
      </w:r>
    </w:p>
    <w:p>
      <w:pPr>
        <w:pStyle w:val="Szvegtrzs"/>
        <w:rPr>
          <w:rFonts w:eastAsia="Times New Roman"/>
          <w:szCs w:val="24"/>
        </w:rPr>
      </w:pPr>
      <w:r>
        <w:rPr>
          <w:rFonts w:eastAsia="Times New Roman"/>
          <w:szCs w:val="24"/>
        </w:rPr>
        <w:t>A Vállalkozó feladata az egyedi építmények felúszás elleni védelmének megoldása az építés ideje alatt.</w:t>
      </w:r>
    </w:p>
    <w:p>
      <w:pPr>
        <w:pStyle w:val="Szvegtrzs"/>
        <w:rPr>
          <w:rFonts w:eastAsia="Times New Roman"/>
          <w:szCs w:val="24"/>
        </w:rPr>
      </w:pPr>
      <w:r>
        <w:rPr>
          <w:rFonts w:eastAsia="Times New Roman"/>
          <w:szCs w:val="24"/>
        </w:rPr>
        <w:t xml:space="preserve">A két fő elvezetési opció alkalmazására az alábbi speciális követelmények vonatkoznak.  </w:t>
      </w:r>
    </w:p>
    <w:p>
      <w:pPr>
        <w:pStyle w:val="Cmsor3"/>
        <w:numPr>
          <w:ilvl w:val="2"/>
          <w:numId w:val="3"/>
        </w:numPr>
        <w:rPr/>
      </w:pPr>
      <w:bookmarkStart w:id="82" w:name="_Toc453756462"/>
      <w:bookmarkStart w:id="83" w:name="_Toc343773424"/>
      <w:bookmarkEnd w:id="82"/>
      <w:bookmarkEnd w:id="83"/>
      <w:r>
        <w:rPr/>
        <w:t>Nyílt víztartás</w:t>
      </w:r>
    </w:p>
    <w:p>
      <w:pPr>
        <w:pStyle w:val="Szvegtrzs"/>
        <w:rPr>
          <w:rFonts w:eastAsia="Times New Roman"/>
          <w:szCs w:val="24"/>
        </w:rPr>
      </w:pPr>
      <w:r>
        <w:rPr>
          <w:rFonts w:eastAsia="Times New Roman"/>
          <w:szCs w:val="24"/>
        </w:rPr>
        <w:t>A vízszintet legalább 0,20 m-rel kell a kiemelés alapjának legalacsonyabb pontja alatti szintig süllyeszteni.</w:t>
      </w:r>
    </w:p>
    <w:p>
      <w:pPr>
        <w:pStyle w:val="Szvegtrzs"/>
        <w:rPr>
          <w:rFonts w:eastAsia="Times New Roman"/>
          <w:szCs w:val="24"/>
        </w:rPr>
      </w:pPr>
      <w:r>
        <w:rPr>
          <w:rFonts w:eastAsia="Times New Roman"/>
          <w:szCs w:val="24"/>
        </w:rPr>
        <w:t>A mélyaknákat megfelelően kell zsaluzni, megelőzve a homok beszivárgását és a földfalak leomlását. Használat után, a zsompokat és a csővezeték árkokat az eredeti talajrétegzettségnek megfelelő anyaggal kell feltölteni.</w:t>
      </w:r>
    </w:p>
    <w:p>
      <w:pPr>
        <w:pStyle w:val="Szvegtrzs"/>
        <w:rPr>
          <w:rFonts w:eastAsia="Times New Roman"/>
          <w:szCs w:val="24"/>
        </w:rPr>
      </w:pPr>
      <w:r>
        <w:rPr>
          <w:rFonts w:eastAsia="Times New Roman"/>
          <w:szCs w:val="24"/>
        </w:rPr>
        <w:t>A vízelvezető csöveket 8/32 mm kavics, vagy 7/15 mm zúzott kő ágyra kell fektetni, amely a csövet minden oldalról legalább 5 cm-es rétegben fedi. A kivitelezés befejezése után az elvezető csöveket el kell távolítani. A vízelvezető rendszerhez szükséges alkalmas tartalék berendezésnek rendelkezésre kell állnia a helyszínen, amely a fő rendszer meghibásodása esetén azonnal felhasználásra kész. Ha szükséges, a szivattyúkat éjszaka, ünnepnapon és hétvégéken is működtetni kell.</w:t>
      </w:r>
    </w:p>
    <w:p>
      <w:pPr>
        <w:pStyle w:val="Cmsor3"/>
        <w:numPr>
          <w:ilvl w:val="2"/>
          <w:numId w:val="3"/>
        </w:numPr>
        <w:rPr/>
      </w:pPr>
      <w:bookmarkStart w:id="84" w:name="_Toc453756463"/>
      <w:bookmarkStart w:id="85" w:name="_Toc343773425"/>
      <w:bookmarkEnd w:id="84"/>
      <w:bookmarkEnd w:id="85"/>
      <w:r>
        <w:rPr/>
        <w:t>Talajvíz süllyesztés ( zárt víztelenítés)</w:t>
      </w:r>
    </w:p>
    <w:p>
      <w:pPr>
        <w:pStyle w:val="Szvegtrzs"/>
        <w:rPr>
          <w:rFonts w:eastAsia="Times New Roman"/>
          <w:b/>
          <w:b/>
          <w:szCs w:val="24"/>
          <w:u w:val="single"/>
        </w:rPr>
      </w:pPr>
      <w:r>
        <w:rPr>
          <w:rFonts w:eastAsia="Times New Roman"/>
          <w:b/>
          <w:szCs w:val="24"/>
          <w:u w:val="single"/>
        </w:rPr>
        <w:t>Talajvízszint süllyesztés esetén a vízjogi létesítési engedélyben foglaltakat szigorúan be kell tartani, a víztelenítési tervet és állapotfelmérést a vízügyi hatóságnak meg kell küldeni.</w:t>
      </w:r>
    </w:p>
    <w:p>
      <w:pPr>
        <w:pStyle w:val="Szvegtrzs"/>
        <w:rPr>
          <w:rFonts w:eastAsia="Times New Roman"/>
          <w:szCs w:val="24"/>
        </w:rPr>
      </w:pPr>
      <w:r>
        <w:rPr>
          <w:rFonts w:eastAsia="Times New Roman"/>
          <w:szCs w:val="24"/>
        </w:rPr>
        <w:t>Ha a talaj és víz szintjére vonatkozó helyszíni körülmények nem teszik lehetővé a nyílt víztartás alkalmazását, akkor talajvízszint süllyesztést lehet alkalmazni.</w:t>
      </w:r>
    </w:p>
    <w:p>
      <w:pPr>
        <w:pStyle w:val="Szvegtrzs"/>
        <w:rPr>
          <w:rFonts w:eastAsia="Times New Roman"/>
          <w:szCs w:val="24"/>
        </w:rPr>
      </w:pPr>
      <w:r>
        <w:rPr>
          <w:rFonts w:eastAsia="Times New Roman"/>
          <w:szCs w:val="24"/>
        </w:rPr>
        <w:t>A vízelvezetés ideje alatt a talajvízszintet rendszeresen mérni, az adatokat regisztrálni kell.</w:t>
      </w:r>
    </w:p>
    <w:p>
      <w:pPr>
        <w:pStyle w:val="Szvegtrzs"/>
        <w:rPr>
          <w:rFonts w:eastAsia="Times New Roman"/>
          <w:szCs w:val="24"/>
        </w:rPr>
      </w:pPr>
      <w:r>
        <w:rPr>
          <w:rFonts w:eastAsia="Times New Roman"/>
          <w:szCs w:val="24"/>
        </w:rPr>
        <w:t>A talajvízszint diagramot három példányban kell benyújtani a Műszaki műszaki ellenőr részére, ami lefedi az összes kutat és a teljes víztelenítési időszakot.</w:t>
      </w:r>
    </w:p>
    <w:p>
      <w:pPr>
        <w:pStyle w:val="Szvegtrzs"/>
        <w:rPr>
          <w:rFonts w:eastAsia="Times New Roman"/>
          <w:szCs w:val="24"/>
        </w:rPr>
      </w:pPr>
      <w:r>
        <w:rPr>
          <w:rFonts w:eastAsia="Times New Roman"/>
          <w:szCs w:val="24"/>
        </w:rPr>
        <w:t>A kiemelt vizet a megfelelő befogadóig kell elvezetni és oda – a befogadóra vonatkozó vízminőségi követelmények betartásával – be kell vezetni. A Vállalkozó felelős az építési munkák által a befogadóba vezetett víz minőségéért, az esetleges szennyezésekért.</w:t>
      </w:r>
    </w:p>
    <w:p>
      <w:pPr>
        <w:pStyle w:val="Szvegtrzs"/>
        <w:rPr>
          <w:rFonts w:eastAsia="Times New Roman"/>
          <w:szCs w:val="24"/>
        </w:rPr>
      </w:pPr>
      <w:r>
        <w:rPr>
          <w:rFonts w:eastAsia="Times New Roman"/>
          <w:szCs w:val="24"/>
        </w:rPr>
        <w:t>A víztelenítés ideje alatt legalább napi rendszerességgel mérni kell a talajvízszintet és a mért adatokat az építési naplóban rögzíteni kell. A talajvízszint változását ábrázoló diagramokat a Műszaki ellenőrnek át kell adni a teljes időszakról 3 példányban, azokat az építési napló mellékleteként kell kezelni.</w:t>
      </w:r>
    </w:p>
    <w:p>
      <w:pPr>
        <w:pStyle w:val="Szvegtrzs"/>
        <w:rPr>
          <w:rFonts w:eastAsia="Times New Roman"/>
          <w:szCs w:val="24"/>
        </w:rPr>
      </w:pPr>
      <w:r>
        <w:rPr>
          <w:rFonts w:eastAsia="Times New Roman"/>
          <w:szCs w:val="24"/>
        </w:rPr>
        <w:t>Az építési területen minden munkafázisban és minden esetre meg kell oldani, illetve biztosítani kell a terep szabad vízelvezetését, szilárd burkolatok esetén a keletkező vizek bevezetésével a meglévő csapadékcsatornába.</w:t>
      </w:r>
    </w:p>
    <w:p>
      <w:pPr>
        <w:pStyle w:val="Szvegtrzs"/>
        <w:rPr>
          <w:rFonts w:eastAsia="Times New Roman"/>
          <w:szCs w:val="24"/>
        </w:rPr>
      </w:pPr>
      <w:r>
        <w:rPr>
          <w:rFonts w:eastAsia="Times New Roman"/>
          <w:szCs w:val="24"/>
        </w:rPr>
        <w:t>A Vállalkozó köteles a védelem alatt álló építmények környezetében végzett munkák esetén körzetében levő építmények állagáról a víztelenítési munkák megkezdése előtt digitális film, illetve fotódokumentációt, állapotfelvételt készíteni, illetve a tulajdonosokkal jegyzőkönyvet felvenni. Ebben rögzíteni kell a szemmel látható régi károkat.</w:t>
      </w:r>
    </w:p>
    <w:p>
      <w:pPr>
        <w:pStyle w:val="Szvegtrzs"/>
        <w:rPr>
          <w:rFonts w:eastAsia="Times New Roman"/>
          <w:szCs w:val="24"/>
        </w:rPr>
      </w:pPr>
      <w:r>
        <w:rPr>
          <w:rFonts w:eastAsia="Times New Roman"/>
          <w:szCs w:val="24"/>
        </w:rPr>
        <w:t>Védelem alatt álló objektum környezetében tervezett víztelenítés tervében számítással is igazolni kell, hogy a tervezett vízszintsüllyesztés hatásaként bekövetkező elmozdulások nem érik el az objektum használati határállapot jellemzőit.</w:t>
      </w:r>
    </w:p>
    <w:p>
      <w:pPr>
        <w:pStyle w:val="Szvegtrzs"/>
        <w:rPr>
          <w:rFonts w:eastAsia="Times New Roman"/>
          <w:szCs w:val="24"/>
        </w:rPr>
      </w:pPr>
      <w:r>
        <w:rPr>
          <w:rFonts w:eastAsia="Times New Roman"/>
          <w:szCs w:val="24"/>
        </w:rPr>
        <w:t>A víztelenítés menete alatt a Vállalkozó hetenként szintezéssel köteles ellenőrizni az épületeket. A szükséges geodéziai fix pontok rögzítése a jegyzőkönyv része és rögzíteni szükséges az építési naplóba is.</w:t>
      </w:r>
    </w:p>
    <w:p>
      <w:pPr>
        <w:pStyle w:val="Szvegtrzs"/>
        <w:rPr>
          <w:rFonts w:eastAsia="Times New Roman"/>
          <w:szCs w:val="24"/>
        </w:rPr>
      </w:pPr>
      <w:r>
        <w:rPr>
          <w:rFonts w:eastAsia="Times New Roman"/>
          <w:szCs w:val="24"/>
        </w:rPr>
        <w:t xml:space="preserve">A víztelenítés megkezdése előtt biztosítani kell a kutak telepítéséhez szükséges víz- és energiaellátást. Az áramellátás biztosítása miatt tartalék áramfejlesztőről is kell gondoskodni. Kapcsolótáblán kell elhelyezni az árammérő műszereket és jelzőlámpákat. A táblákat jól látható feliratokkal kell ellátni. </w:t>
      </w:r>
    </w:p>
    <w:p>
      <w:pPr>
        <w:pStyle w:val="Szvegtrzs"/>
        <w:rPr>
          <w:rFonts w:eastAsia="Times New Roman"/>
          <w:szCs w:val="24"/>
        </w:rPr>
      </w:pPr>
      <w:r>
        <w:rPr>
          <w:rFonts w:eastAsia="Times New Roman"/>
          <w:szCs w:val="24"/>
        </w:rPr>
        <w:t xml:space="preserve">A felvonulást be kell jelenteni az elektromos szolgáltató vállalat megbízottjának, és kérni kell a telepítés elektromos felülvizsgálatát. </w:t>
      </w:r>
    </w:p>
    <w:p>
      <w:pPr>
        <w:pStyle w:val="Szvegtrzs"/>
        <w:rPr>
          <w:rFonts w:eastAsia="Times New Roman"/>
          <w:szCs w:val="24"/>
        </w:rPr>
      </w:pPr>
      <w:r>
        <w:rPr>
          <w:rFonts w:eastAsia="Times New Roman"/>
          <w:szCs w:val="24"/>
        </w:rPr>
        <w:t>A kivitelezés megkezdése előtt a Vállalkozó köteles megvizsgálni azt, hogy a kútsor süllyesztésének helyén - a térszín alatt - a nyomvonalon van-e olyan közmű (elektromos kábel, postakábel, víz-, gázvezeték, csatorna stb.), amelyből nem csak kár, hanem baleset is származhat.</w:t>
      </w:r>
    </w:p>
    <w:p>
      <w:pPr>
        <w:pStyle w:val="Szvegtrzs"/>
        <w:rPr>
          <w:rFonts w:eastAsia="Times New Roman"/>
          <w:szCs w:val="24"/>
        </w:rPr>
      </w:pPr>
      <w:r>
        <w:rPr>
          <w:rFonts w:eastAsia="Times New Roman"/>
          <w:szCs w:val="24"/>
        </w:rPr>
        <w:t xml:space="preserve">Vizsgálni kell továbbá azt, hogy a térszín fölött, a fúróállvány, vagy fúrótorony felállításánál van-e olyan érintési veszély (pl. elektromos légvezeték), melynek megközelítése áramütést okozhat. A megtartott vizsgálatot a munkavédelmi- és az építési naplóba be kell jegyezni. </w:t>
      </w:r>
    </w:p>
    <w:p>
      <w:pPr>
        <w:pStyle w:val="Szvegtrzs"/>
        <w:rPr>
          <w:rFonts w:eastAsia="Times New Roman"/>
          <w:szCs w:val="24"/>
        </w:rPr>
      </w:pPr>
      <w:r>
        <w:rPr>
          <w:rFonts w:eastAsia="Times New Roman"/>
          <w:szCs w:val="24"/>
        </w:rPr>
        <w:t xml:space="preserve">A kutak helyét ki kell jelölni a víztelenítési terv kútkiosztása szerint, mely a talaj és vízviszonyoktól függően vákuumkutak esetében 1,2-1,80 m, szűrőkutaknál 4-6 m. </w:t>
      </w:r>
    </w:p>
    <w:p>
      <w:pPr>
        <w:pStyle w:val="Szvegtrzs"/>
        <w:rPr>
          <w:rFonts w:eastAsia="Times New Roman"/>
          <w:szCs w:val="24"/>
        </w:rPr>
      </w:pPr>
      <w:r>
        <w:rPr>
          <w:rFonts w:eastAsia="Times New Roman"/>
          <w:szCs w:val="24"/>
        </w:rPr>
        <w:t>A kúttelepítést meg kell előzze a gyűjtő- (kollektor) -vezeték építése.</w:t>
      </w:r>
    </w:p>
    <w:p>
      <w:pPr>
        <w:pStyle w:val="Cmsor1"/>
        <w:numPr>
          <w:ilvl w:val="0"/>
          <w:numId w:val="3"/>
        </w:numPr>
        <w:ind w:left="431" w:hanging="431"/>
        <w:rPr/>
      </w:pPr>
      <w:bookmarkStart w:id="86" w:name="_Toc453756464"/>
      <w:bookmarkStart w:id="87" w:name="_Toc343773427"/>
      <w:r>
        <w:rPr>
          <w:caps w:val="false"/>
          <w:smallCaps w:val="false"/>
        </w:rPr>
        <w:t>Beton és vasbeton munkák</w:t>
      </w:r>
      <w:bookmarkEnd w:id="86"/>
      <w:bookmarkEnd w:id="87"/>
      <w:r>
        <w:rPr>
          <w:caps w:val="false"/>
          <w:smallCaps w:val="false"/>
        </w:rPr>
        <w:t xml:space="preserve"> </w:t>
      </w:r>
    </w:p>
    <w:p>
      <w:pPr>
        <w:pStyle w:val="Szvegtrzs"/>
        <w:rPr>
          <w:rFonts w:eastAsia="Times New Roman"/>
          <w:szCs w:val="24"/>
        </w:rPr>
      </w:pPr>
      <w:r>
        <w:rPr>
          <w:rFonts w:eastAsia="Times New Roman"/>
          <w:szCs w:val="24"/>
        </w:rPr>
        <w:t>Előregyártott beton- és vasbetonszerkezetekről a kiviteli tervnek elemtervet és konszignációt, a helyszínen gyártott szerkezetről pedig mérettervet, vasalási tervet és konszignációt kell tartalmaznia. Az igénybevételek és a vasalás számításához használt módszert, szoftvert a Minőségbiztosítási Terv vonatkozó folyamatleírásában be kell mutatni.</w:t>
      </w:r>
    </w:p>
    <w:p>
      <w:pPr>
        <w:pStyle w:val="Szvegtrzs"/>
        <w:rPr>
          <w:rFonts w:eastAsia="Times New Roman"/>
          <w:szCs w:val="24"/>
        </w:rPr>
      </w:pPr>
      <w:r>
        <w:rPr>
          <w:rFonts w:eastAsia="Times New Roman"/>
          <w:szCs w:val="24"/>
        </w:rPr>
        <w:t>A meglévő és megmaradó beton- és vasbetonszerkezetek állapotát meg kell vizsgálni, ahol szükséges a megfelelő vízzáróság, korrózió elleni védelem és tartósság biztosítása érdekében a szükséges beavatkozásokat el kell végezni (bevonatképzés, javítás, bontás-újrabetonozás).</w:t>
      </w:r>
    </w:p>
    <w:p>
      <w:pPr>
        <w:pStyle w:val="Cmsor2"/>
        <w:numPr>
          <w:ilvl w:val="1"/>
          <w:numId w:val="3"/>
        </w:numPr>
        <w:rPr/>
      </w:pPr>
      <w:bookmarkStart w:id="88" w:name="_Toc453756465"/>
      <w:bookmarkStart w:id="89" w:name="_Toc343773428"/>
      <w:bookmarkEnd w:id="88"/>
      <w:bookmarkEnd w:id="89"/>
      <w:r>
        <w:rPr/>
        <w:t>Betonminőség - készbeton</w:t>
      </w:r>
    </w:p>
    <w:p>
      <w:pPr>
        <w:pStyle w:val="Szvegtrzs"/>
        <w:rPr>
          <w:rFonts w:eastAsia="Times New Roman"/>
          <w:szCs w:val="24"/>
        </w:rPr>
      </w:pPr>
      <w:r>
        <w:rPr>
          <w:rFonts w:eastAsia="Times New Roman"/>
          <w:szCs w:val="24"/>
        </w:rPr>
        <w:t xml:space="preserve">Az építési munkák során csak a gyártó megfelelőség-tanúsításával bizonylatolt minőségű </w:t>
      </w:r>
      <w:r>
        <w:rPr>
          <w:rFonts w:eastAsia="Times New Roman"/>
          <w:b/>
          <w:bCs/>
          <w:szCs w:val="24"/>
        </w:rPr>
        <w:t xml:space="preserve">készbeton </w:t>
      </w:r>
      <w:r>
        <w:rPr>
          <w:rFonts w:eastAsia="Times New Roman"/>
          <w:bCs/>
          <w:szCs w:val="24"/>
        </w:rPr>
        <w:t xml:space="preserve">– engedéllyel rendelkező keverőtelepen készült, ellenőrzött minőségű beton - </w:t>
      </w:r>
      <w:r>
        <w:rPr>
          <w:rFonts w:eastAsia="Times New Roman"/>
          <w:szCs w:val="24"/>
        </w:rPr>
        <w:t>alkalmazható.</w:t>
      </w:r>
    </w:p>
    <w:p>
      <w:pPr>
        <w:pStyle w:val="Szvegtrzs"/>
        <w:rPr>
          <w:rFonts w:eastAsia="Times New Roman"/>
          <w:szCs w:val="24"/>
        </w:rPr>
      </w:pPr>
      <w:r>
        <w:rPr>
          <w:rFonts w:eastAsia="Times New Roman"/>
          <w:szCs w:val="24"/>
        </w:rPr>
        <w:t>A betonminőséggel szemben támasztott követelményeket (szilárdság, vízzáróság, fagy- és vegyszerállóság, szemszerkezet, stb.) továbbá a frissbeton fizikai jellemzőivel, bedolgozásával, utókezelésével szemben támasztott követelményeket (pl. konzisztencia, tömörítés, az időjárási feltételektől függően adalékszerek használata, stb.) a kiviteli tervnek a vonatkozó szabvány szerint tartalmaznia kell!</w:t>
      </w:r>
    </w:p>
    <w:p>
      <w:pPr>
        <w:pStyle w:val="Szvegtrzs"/>
        <w:spacing w:before="0" w:after="0"/>
        <w:rPr>
          <w:rFonts w:eastAsia="Times New Roman"/>
          <w:i/>
          <w:i/>
          <w:szCs w:val="24"/>
        </w:rPr>
      </w:pPr>
      <w:r>
        <w:rPr>
          <w:rFonts w:eastAsia="Times New Roman"/>
          <w:i/>
          <w:szCs w:val="24"/>
        </w:rPr>
      </w:r>
    </w:p>
    <w:p>
      <w:pPr>
        <w:pStyle w:val="Szvegtrzs"/>
        <w:rPr>
          <w:rFonts w:eastAsia="Times New Roman"/>
          <w:szCs w:val="24"/>
        </w:rPr>
      </w:pPr>
      <w:r>
        <w:rPr>
          <w:rFonts w:eastAsia="Times New Roman"/>
          <w:szCs w:val="24"/>
        </w:rPr>
        <w:t>A követelmények, a számított terhek és hatások függvényében a betonminőséget a Tervezőnek a hatályos magyar szabványban meghatározott jelöléssel kell specifikálnia. A szabványos és teljes betonminőség jelölését minden vonatkozó tervlapon szerepeltetni kell!</w:t>
      </w:r>
    </w:p>
    <w:p>
      <w:pPr>
        <w:pStyle w:val="Szvegtrzs"/>
        <w:rPr>
          <w:rFonts w:eastAsia="Times New Roman"/>
          <w:szCs w:val="24"/>
        </w:rPr>
      </w:pPr>
      <w:r>
        <w:rPr>
          <w:rFonts w:eastAsia="Times New Roman"/>
          <w:szCs w:val="24"/>
        </w:rPr>
        <w:t>A Vállalkozónak a tenderben és a hozzákapcsolódó terveken specifikált betonminőséget kell alkalmaznia. Ahol ez nem került előírásra, ott szerkezeti betonként C16/20-nál, vasalt aljzatként C12/15-nél, egyéb szerelőbetonban, alábetonozásban C8/10-nél alacsonyabb szilárdsági osztályú beton nem alkalmazható.</w:t>
      </w:r>
    </w:p>
    <w:p>
      <w:pPr>
        <w:pStyle w:val="Cmsor3"/>
        <w:numPr>
          <w:ilvl w:val="2"/>
          <w:numId w:val="3"/>
        </w:numPr>
        <w:rPr/>
      </w:pPr>
      <w:bookmarkStart w:id="90" w:name="_Toc453756466"/>
      <w:bookmarkStart w:id="91" w:name="_Toc343773429"/>
      <w:bookmarkEnd w:id="90"/>
      <w:bookmarkEnd w:id="91"/>
      <w:r>
        <w:rPr/>
        <w:t>Helyszínen készített beton</w:t>
      </w:r>
    </w:p>
    <w:p>
      <w:pPr>
        <w:pStyle w:val="Szvegtrzs"/>
        <w:rPr>
          <w:rFonts w:eastAsia="Times New Roman"/>
          <w:szCs w:val="24"/>
        </w:rPr>
      </w:pPr>
      <w:r>
        <w:rPr>
          <w:rFonts w:eastAsia="Times New Roman"/>
          <w:szCs w:val="24"/>
        </w:rPr>
        <w:t xml:space="preserve">Beton </w:t>
      </w:r>
      <w:r>
        <w:rPr>
          <w:rFonts w:eastAsia="Times New Roman"/>
          <w:bCs/>
          <w:szCs w:val="24"/>
        </w:rPr>
        <w:t>helyszínen</w:t>
      </w:r>
      <w:r>
        <w:rPr>
          <w:rFonts w:eastAsia="Times New Roman"/>
          <w:szCs w:val="24"/>
        </w:rPr>
        <w:t xml:space="preserve"> történő készítésére csak kisebb mennyiségű és szerkezeti funkciót el nem látó elemek esetén, és csak a Műszaki ellenőr előzetes hozzájárulásával van mód. </w:t>
      </w:r>
    </w:p>
    <w:p>
      <w:pPr>
        <w:pStyle w:val="Szvegtrzs"/>
        <w:rPr>
          <w:rFonts w:eastAsia="Times New Roman"/>
          <w:szCs w:val="24"/>
        </w:rPr>
      </w:pPr>
      <w:r>
        <w:rPr>
          <w:rFonts w:eastAsia="Times New Roman"/>
          <w:szCs w:val="24"/>
        </w:rPr>
        <w:t>A helyszíni betonok lehetnek telephelyen, vagy helyszínen kevertek (előbbi esetén pl. víz helyszíni hozzákeveréssel).</w:t>
      </w:r>
    </w:p>
    <w:p>
      <w:pPr>
        <w:pStyle w:val="Szvegtrzs"/>
        <w:rPr>
          <w:rFonts w:eastAsia="Times New Roman"/>
          <w:szCs w:val="24"/>
        </w:rPr>
      </w:pPr>
      <w:r>
        <w:rPr>
          <w:rFonts w:eastAsia="Times New Roman"/>
          <w:szCs w:val="24"/>
        </w:rPr>
        <w:t xml:space="preserve">A Vállalkozónak a beton készítésére (technológia), a felhasznált adalék- és kötőanyagok, keverővíz, vegy- és adalékszerek fajlagos mennyiségére és minőségére vonatkozó adatokat is tartalmazó, a Minőségbiztosítási Terv részét képező külön </w:t>
      </w:r>
      <w:r>
        <w:rPr>
          <w:rFonts w:eastAsia="Times New Roman"/>
          <w:b/>
          <w:szCs w:val="24"/>
        </w:rPr>
        <w:t>Technológiai Folyamatleírást</w:t>
      </w:r>
      <w:r>
        <w:rPr>
          <w:rFonts w:eastAsia="Times New Roman"/>
          <w:szCs w:val="24"/>
        </w:rPr>
        <w:t xml:space="preserve"> kell előre elkészítenie, amit a Műszaki ellenőrnek jóvá kell hagynia. </w:t>
      </w:r>
    </w:p>
    <w:p>
      <w:pPr>
        <w:pStyle w:val="Szvegtrzs"/>
        <w:rPr>
          <w:rFonts w:eastAsia="Times New Roman"/>
          <w:szCs w:val="24"/>
        </w:rPr>
      </w:pPr>
      <w:r>
        <w:rPr>
          <w:rFonts w:eastAsia="Times New Roman"/>
          <w:szCs w:val="24"/>
        </w:rPr>
        <w:t xml:space="preserve">Ennek részletesen ki kell térnie a friss és a megszilárdult betonra vonatkozó szilárdsági és egyéb követelményekre, paraméter-jellemzőkre, a betonkészítés, bedolgozás technológiai követelményeire, a folyamat és a beton minőségellenőrzésére a vonatkozó szabványok és a vonatkozó technológiai előírások szerint. </w:t>
      </w:r>
    </w:p>
    <w:p>
      <w:pPr>
        <w:pStyle w:val="Szvegtrzs"/>
        <w:rPr>
          <w:rFonts w:eastAsia="Times New Roman"/>
          <w:szCs w:val="24"/>
        </w:rPr>
      </w:pPr>
      <w:r>
        <w:rPr>
          <w:rFonts w:eastAsia="Times New Roman"/>
          <w:szCs w:val="24"/>
        </w:rPr>
        <w:t>Helyszíni betonkészítés esetén, illetve egyéb munkákhoz a beton összetevőire vonatkozó követelmények a következők:</w:t>
      </w:r>
    </w:p>
    <w:p>
      <w:pPr>
        <w:pStyle w:val="Cmsor3"/>
        <w:numPr>
          <w:ilvl w:val="2"/>
          <w:numId w:val="3"/>
        </w:numPr>
        <w:rPr/>
      </w:pPr>
      <w:bookmarkStart w:id="92" w:name="_Toc453756467"/>
      <w:bookmarkStart w:id="93" w:name="_Toc343773430"/>
      <w:bookmarkEnd w:id="92"/>
      <w:bookmarkEnd w:id="93"/>
      <w:r>
        <w:rPr/>
        <w:t>Cement</w:t>
      </w:r>
    </w:p>
    <w:p>
      <w:pPr>
        <w:pStyle w:val="Szvegtrzs"/>
        <w:rPr>
          <w:rFonts w:eastAsia="Times New Roman"/>
          <w:szCs w:val="24"/>
        </w:rPr>
      </w:pPr>
      <w:r>
        <w:rPr>
          <w:rFonts w:eastAsia="Times New Roman"/>
          <w:szCs w:val="24"/>
        </w:rPr>
        <w:t xml:space="preserve">Az alkalmazásra kerülő cement fajtáját, jelölését a beton tervezett minőségéhez kell megválasztani, a szilárdsági jellemzők, a betont várhatóan érő vegyi hatások és a bedolgozás feltételeinek ismeretében a szabványban foglalt előírások figyelembevételével. </w:t>
      </w:r>
    </w:p>
    <w:p>
      <w:pPr>
        <w:pStyle w:val="Szvegtrzs"/>
        <w:rPr>
          <w:rFonts w:eastAsia="Times New Roman"/>
          <w:szCs w:val="24"/>
        </w:rPr>
      </w:pPr>
      <w:r>
        <w:rPr>
          <w:rFonts w:eastAsia="Times New Roman"/>
          <w:szCs w:val="24"/>
        </w:rPr>
        <w:t>Szulfátálló – CEM III/B 32,5 N-S - szulfátálló kohósalak-cementet kell alkalmazni valamennyi talajba kerülő beton, vagy vasbeton szerkezetben.</w:t>
      </w:r>
    </w:p>
    <w:p>
      <w:pPr>
        <w:pStyle w:val="Szvegtrzs"/>
        <w:rPr>
          <w:rFonts w:eastAsia="Times New Roman"/>
          <w:i/>
          <w:i/>
          <w:szCs w:val="24"/>
        </w:rPr>
      </w:pPr>
      <w:r>
        <w:rPr>
          <w:rFonts w:eastAsia="Times New Roman"/>
          <w:i/>
          <w:szCs w:val="24"/>
        </w:rPr>
        <w:tab/>
      </w:r>
    </w:p>
    <w:p>
      <w:pPr>
        <w:pStyle w:val="Szvegtrzs"/>
        <w:rPr>
          <w:rFonts w:eastAsia="Times New Roman"/>
          <w:szCs w:val="24"/>
        </w:rPr>
      </w:pPr>
      <w:r>
        <w:rPr>
          <w:rFonts w:eastAsia="Times New Roman"/>
          <w:szCs w:val="24"/>
        </w:rPr>
        <w:t>Zsákos cement szállítása sértetlen és száraz papírzsákban, vagy speciális cementszállító járművön történhet. Tárolásánál a nedvesedést ki kell zárni. Csapadék ellen védeni kell. Talajra helyezéskor 30 cm-re emelt rakodólapra helyezhető. Három hónapot meghaladó tárolás esetén külön vizsgálni kell a felhasználhatóságát. A felhasználásra alkalmatlan cementet az építési helyről haladéktalanul el kell szállítani.</w:t>
      </w:r>
    </w:p>
    <w:p>
      <w:pPr>
        <w:pStyle w:val="Cmsor3"/>
        <w:numPr>
          <w:ilvl w:val="2"/>
          <w:numId w:val="3"/>
        </w:numPr>
        <w:rPr/>
      </w:pPr>
      <w:bookmarkStart w:id="94" w:name="_Toc453756468"/>
      <w:bookmarkStart w:id="95" w:name="_Toc343773431"/>
      <w:bookmarkEnd w:id="94"/>
      <w:bookmarkEnd w:id="95"/>
      <w:r>
        <w:rPr/>
        <w:t>Víz</w:t>
      </w:r>
    </w:p>
    <w:p>
      <w:pPr>
        <w:pStyle w:val="Szvegtrzs"/>
        <w:rPr>
          <w:rFonts w:eastAsia="Times New Roman"/>
          <w:szCs w:val="24"/>
        </w:rPr>
      </w:pPr>
      <w:r>
        <w:rPr>
          <w:rFonts w:eastAsia="Times New Roman"/>
          <w:szCs w:val="24"/>
        </w:rPr>
        <w:t>Beton helyszíni készítéséhez felhasználható víz minőségének megfelelőségét – egyéb hatályos előírás híján – a pr EN 1008:1997 szerint kell megállapítani.</w:t>
      </w:r>
    </w:p>
    <w:p>
      <w:pPr>
        <w:pStyle w:val="Cmsor3"/>
        <w:numPr>
          <w:ilvl w:val="2"/>
          <w:numId w:val="3"/>
        </w:numPr>
        <w:rPr/>
      </w:pPr>
      <w:bookmarkStart w:id="96" w:name="_Toc453756469"/>
      <w:bookmarkStart w:id="97" w:name="_Toc343773432"/>
      <w:bookmarkEnd w:id="96"/>
      <w:bookmarkEnd w:id="97"/>
      <w:r>
        <w:rPr/>
        <w:t>Adalékanyagok</w:t>
      </w:r>
    </w:p>
    <w:p>
      <w:pPr>
        <w:pStyle w:val="Szvegtrzs"/>
        <w:rPr>
          <w:rFonts w:eastAsia="Times New Roman"/>
          <w:szCs w:val="24"/>
        </w:rPr>
      </w:pPr>
      <w:r>
        <w:rPr>
          <w:rFonts w:eastAsia="Times New Roman"/>
          <w:szCs w:val="24"/>
        </w:rPr>
        <w:t>A felhasznált homokos kavics legalább öt szitafrakciót tartalmazzon, 32-es szemnagyságtól lefelé úgy, hogy a 0,1 mm-nél kisebb frakció mennyisége nem lehet több 2%-nál. A keverék látható iszap és agyag részeket nem tartalmazhat.</w:t>
      </w:r>
    </w:p>
    <w:p>
      <w:pPr>
        <w:pStyle w:val="Szvegtrzs"/>
        <w:rPr>
          <w:rFonts w:eastAsia="Times New Roman"/>
          <w:szCs w:val="24"/>
        </w:rPr>
      </w:pPr>
      <w:r>
        <w:rPr>
          <w:rFonts w:eastAsia="Times New Roman"/>
          <w:szCs w:val="24"/>
        </w:rPr>
        <w:t xml:space="preserve">Egyebekben a beton helyszíni készítéséhez felhasználható adalékanyag minőségének megfelelőségét – egyéb hatályos előírás híján – a </w:t>
      </w:r>
      <w:bookmarkStart w:id="98" w:name="__DdeLink__4219_489102310"/>
      <w:r>
        <w:rPr>
          <w:rFonts w:eastAsia="Times New Roman"/>
          <w:szCs w:val="24"/>
        </w:rPr>
        <w:t>pr EN 12620:2000</w:t>
      </w:r>
      <w:bookmarkEnd w:id="98"/>
      <w:r>
        <w:rPr>
          <w:rFonts w:eastAsia="Times New Roman"/>
          <w:szCs w:val="24"/>
        </w:rPr>
        <w:t xml:space="preserve"> szerint kell megállapítani.</w:t>
      </w:r>
    </w:p>
    <w:p>
      <w:pPr>
        <w:pStyle w:val="Cmsor3"/>
        <w:numPr>
          <w:ilvl w:val="2"/>
          <w:numId w:val="3"/>
        </w:numPr>
        <w:rPr/>
      </w:pPr>
      <w:bookmarkStart w:id="99" w:name="_Toc453756470"/>
      <w:bookmarkStart w:id="100" w:name="_Toc343773433"/>
      <w:r>
        <w:rPr/>
        <w:t>Minőség-ellenőrzés</w:t>
      </w:r>
      <w:bookmarkEnd w:id="99"/>
      <w:bookmarkEnd w:id="100"/>
      <w:r>
        <w:rPr/>
        <w:t xml:space="preserve"> </w:t>
      </w:r>
    </w:p>
    <w:p>
      <w:pPr>
        <w:pStyle w:val="Szvegtrzs"/>
        <w:rPr>
          <w:rFonts w:eastAsia="Times New Roman"/>
          <w:szCs w:val="24"/>
        </w:rPr>
      </w:pPr>
      <w:r>
        <w:rPr>
          <w:rFonts w:eastAsia="Times New Roman"/>
          <w:szCs w:val="24"/>
        </w:rPr>
        <w:t>Helyszíni beton készítésénél 4 m</w:t>
      </w:r>
      <w:r>
        <w:rPr>
          <w:rFonts w:eastAsia="Times New Roman"/>
          <w:szCs w:val="24"/>
          <w:vertAlign w:val="superscript"/>
        </w:rPr>
        <w:t>3</w:t>
      </w:r>
      <w:r>
        <w:rPr>
          <w:rFonts w:eastAsia="Times New Roman"/>
          <w:szCs w:val="24"/>
        </w:rPr>
        <w:t xml:space="preserve">-enként, illetve szállítmányonként 4 db mintavétel szükséges, melyekből próbahengert, vagy próbakockát kell készíteni. </w:t>
      </w:r>
    </w:p>
    <w:p>
      <w:pPr>
        <w:pStyle w:val="Szvegtrzs"/>
        <w:rPr>
          <w:rFonts w:eastAsia="Times New Roman"/>
          <w:szCs w:val="24"/>
        </w:rPr>
      </w:pPr>
      <w:r>
        <w:rPr>
          <w:rFonts w:eastAsia="Times New Roman"/>
          <w:szCs w:val="24"/>
        </w:rPr>
        <w:t xml:space="preserve">Az összetartozó próbatestekből 2 db-ot normál körülmények között kell megszilárdítani, a többit víz alatt. Egy mintát 14 naposan, egy másikat pedig 28 naposan kell megtörni. </w:t>
      </w:r>
    </w:p>
    <w:p>
      <w:pPr>
        <w:pStyle w:val="Szvegtrzs"/>
        <w:rPr>
          <w:rFonts w:eastAsia="Times New Roman"/>
          <w:szCs w:val="24"/>
        </w:rPr>
      </w:pPr>
      <w:r>
        <w:rPr>
          <w:rFonts w:eastAsia="Times New Roman"/>
          <w:szCs w:val="24"/>
        </w:rPr>
        <w:t>A 14 naposan megtört kockának el kell érnie a 28 naposan eltört kocka szilárdságának 75%-át, a 28 naposan megtört kockának pedig a beton előírt minőségét kell produkálnia.</w:t>
      </w:r>
    </w:p>
    <w:p>
      <w:pPr>
        <w:pStyle w:val="Cmsor1"/>
        <w:numPr>
          <w:ilvl w:val="0"/>
          <w:numId w:val="3"/>
        </w:numPr>
        <w:ind w:left="431" w:hanging="431"/>
        <w:rPr>
          <w:caps w:val="false"/>
          <w:smallCaps w:val="false"/>
          <w:highlight w:val="green"/>
        </w:rPr>
      </w:pPr>
      <w:bookmarkStart w:id="101" w:name="_Toc453756471"/>
      <w:bookmarkEnd w:id="101"/>
      <w:r>
        <w:rPr>
          <w:caps w:val="false"/>
          <w:smallCaps w:val="false"/>
        </w:rPr>
        <w:t>Szennyvízcsatorna építésével kapcsolatos követelmények</w:t>
      </w:r>
    </w:p>
    <w:p>
      <w:pPr>
        <w:pStyle w:val="Normal"/>
        <w:rPr/>
      </w:pPr>
      <w:r>
        <w:rPr/>
      </w:r>
    </w:p>
    <w:p>
      <w:pPr>
        <w:pStyle w:val="Szvegtrzs"/>
        <w:rPr/>
      </w:pPr>
      <w:r>
        <w:rPr>
          <w:rFonts w:eastAsia="Times New Roman"/>
          <w:szCs w:val="24"/>
        </w:rPr>
        <w:t>Az engedélyes terv pontosításaként Megrendelő az alábbiak közli (3.2módosított.rajz.pdf)</w:t>
      </w:r>
    </w:p>
    <w:p>
      <w:pPr>
        <w:pStyle w:val="Szvegtrzs"/>
        <w:numPr>
          <w:ilvl w:val="0"/>
          <w:numId w:val="39"/>
        </w:numPr>
        <w:rPr/>
      </w:pPr>
      <w:r>
        <w:rPr>
          <w:rFonts w:eastAsia="Times New Roman"/>
          <w:szCs w:val="24"/>
        </w:rPr>
        <w:t>A Kerengő utca (1-0-0)  plusz bekötővezetéket kell kiépíteni az engedélyes tervhez képest a 4029/4 hrsz-ú ingatlanra</w:t>
      </w:r>
    </w:p>
    <w:p>
      <w:pPr>
        <w:pStyle w:val="Szvegtrzs"/>
        <w:numPr>
          <w:ilvl w:val="0"/>
          <w:numId w:val="39"/>
        </w:numPr>
        <w:rPr/>
      </w:pPr>
      <w:r>
        <w:rPr>
          <w:rFonts w:eastAsia="Times New Roman"/>
          <w:szCs w:val="24"/>
        </w:rPr>
        <w:t>A 6492 hrsz-ú utca (1-2-0)  plusz bekötővezetéket kell kiépíteni az engedélyes tervhez képest a 46501 hrsz-ú ingatlanra</w:t>
      </w:r>
    </w:p>
    <w:p>
      <w:pPr>
        <w:pStyle w:val="Szvegtrzs"/>
        <w:numPr>
          <w:ilvl w:val="0"/>
          <w:numId w:val="39"/>
        </w:numPr>
        <w:rPr/>
      </w:pPr>
      <w:r>
        <w:rPr>
          <w:rFonts w:eastAsia="Times New Roman"/>
          <w:szCs w:val="24"/>
        </w:rPr>
        <w:t>A 6531 hrsz-ú utca (1-1-0)  plusz bekötővezetéket kell kiépíteni az engedélyes tervhez képest a 6529 hrsz-ú ingatlanra</w:t>
      </w:r>
    </w:p>
    <w:p>
      <w:pPr>
        <w:pStyle w:val="Szvegtrzs"/>
        <w:numPr>
          <w:ilvl w:val="0"/>
          <w:numId w:val="39"/>
        </w:numPr>
        <w:rPr/>
      </w:pPr>
      <w:r>
        <w:rPr>
          <w:rFonts w:eastAsia="Times New Roman"/>
          <w:szCs w:val="24"/>
        </w:rPr>
        <w:t>Az Erdőszél utca (1-1-0)  6533 hrsz-ú ingatlan bekötése az Erdőszél utcáról és nem a Bojtorján utcáról történik</w:t>
      </w:r>
    </w:p>
    <w:p>
      <w:pPr>
        <w:pStyle w:val="Szvegtrzs"/>
        <w:numPr>
          <w:ilvl w:val="0"/>
          <w:numId w:val="39"/>
        </w:numPr>
        <w:rPr/>
      </w:pPr>
      <w:r>
        <w:rPr>
          <w:rFonts w:eastAsia="Times New Roman"/>
          <w:szCs w:val="24"/>
        </w:rPr>
        <w:t>Az Erdőszél utca (1-1-0) plusz bekötővezetéket kell kiépíteni az engedélyes tervhez képest a 4011/10 hrsz-ú ingatlanra</w:t>
      </w:r>
    </w:p>
    <w:p>
      <w:pPr>
        <w:pStyle w:val="Normal"/>
        <w:rPr/>
      </w:pPr>
      <w:r>
        <w:rPr/>
      </w:r>
    </w:p>
    <w:p>
      <w:pPr>
        <w:pStyle w:val="Normal"/>
        <w:rPr/>
      </w:pPr>
      <w:r>
        <w:rPr/>
        <w:t xml:space="preserve">A közterületi csatornahálózatot MSZ EN 1401 szerinti D200-as KG-PVC csatornacsőből és D160-as méretű bekötő vezetékekkel kell megvalósítani. A gerinchálózaton MSZ EN 1917 és DIN 4034 alapján előregyártott vasbetonelemekből (C 30/37 (XC3;XF2;XA2) minőségű MSZ EN 206 illetve MSZ 4798 alapján gyártott betonból készített tisztítóaknákat kell elhelyezni, az MSZ EN 681-1 szabványnak megfelelő "T1" típusú gumitömítéses csatlakozással. </w:t>
      </w:r>
    </w:p>
    <w:p>
      <w:pPr>
        <w:pStyle w:val="Normal"/>
        <w:rPr/>
      </w:pPr>
      <w:r>
        <w:rPr/>
        <w:t xml:space="preserve">A kör keresztmetszetű tisztító aknáknak minimum 15 cm falvastagságú és 15 cm fenékvastagságú, minimum 150 cm összes szerkezeti magasságúnak kell lennie aknafenékelemmel és minimum 12 cm falvastagságú, de 250/500/750/1000 mm elemmagasságú aknagyűrűkkel, rugalmas aknabekötő idomokkal, anyagában tömör aknahágcsókkal. Az aknákat MSZ EN 124:1994 szabvány szerinti, D400-as teherbírású, </w:t>
      </w:r>
      <w:r>
        <w:rPr>
          <w:rFonts w:eastAsia="Symbol" w:cs="Symbol" w:ascii="Symbol" w:hAnsi="Symbol"/>
        </w:rPr>
        <w:t></w:t>
      </w:r>
      <w:r>
        <w:rPr/>
        <w:t xml:space="preserve">600-as méretű bűzzáró kivitelű csuklópántos öntöttvas aknafedlappal kell ellátni, a DMRV/10273-3/2015/SZO. sz. közmű üzemeltetői nyilatkozat alapján szükség esetén vízzáró kivitelben. A tisztítóaknák DN1000 belső átmérőjűek, vízzáró anyagú és vízzáróan összeillesztett elemekből összeállítottak legyenek. </w:t>
      </w:r>
    </w:p>
    <w:p>
      <w:pPr>
        <w:pStyle w:val="Normal"/>
        <w:rPr/>
      </w:pPr>
      <w:r>
        <w:rPr/>
        <w:t xml:space="preserve">A bekötővezetéket MSZ EN 1401 szerinti D 160-as csatornacsőből kell megvalósítani a telekhatáron belüli szolgáltatási pontnál min. 1,40 m. takarással és D200-as méretű tisztítónyílással a DMRV ME72001 v6 szerint. </w:t>
      </w:r>
    </w:p>
    <w:p>
      <w:pPr>
        <w:pStyle w:val="Normal"/>
        <w:rPr/>
      </w:pPr>
      <w:r>
        <w:rPr/>
        <w:t xml:space="preserve">Tisztító akna esetében (műanyag és beton) a fedlap hosszú távú biztonságos rögzítését (megfelelően méretezett körbetonozással min. 1,5 m x 1,5 m x 20 cm) vagy gyárilag betonba ágyazott keret alkalmazásával kell biztosítani.   </w:t>
      </w:r>
    </w:p>
    <w:p>
      <w:pPr>
        <w:pStyle w:val="Normal"/>
        <w:rPr/>
      </w:pPr>
      <w:bookmarkStart w:id="102" w:name="_GoBack"/>
      <w:bookmarkStart w:id="103" w:name="_GoBack"/>
      <w:bookmarkEnd w:id="103"/>
      <w:r>
        <w:rPr/>
      </w:r>
    </w:p>
    <w:p>
      <w:pPr>
        <w:pStyle w:val="Normal"/>
        <w:rPr/>
      </w:pPr>
      <w:r>
        <w:rPr/>
      </w:r>
    </w:p>
    <w:p>
      <w:pPr>
        <w:pStyle w:val="Cmsor2"/>
        <w:numPr>
          <w:ilvl w:val="1"/>
          <w:numId w:val="3"/>
        </w:numPr>
        <w:rPr/>
      </w:pPr>
      <w:bookmarkStart w:id="104" w:name="_Toc453756472"/>
      <w:bookmarkEnd w:id="104"/>
      <w:r>
        <w:rPr/>
        <w:t>Házi beemelőkkel kapcsolatos követelmények</w:t>
      </w:r>
    </w:p>
    <w:p>
      <w:pPr>
        <w:pStyle w:val="Normal"/>
        <w:rPr/>
      </w:pPr>
      <w:r>
        <w:rPr/>
        <w:t xml:space="preserve">Házi beemelő berendezést tartállyal, szivattyúval, villamos és gépészeti tartozékokkal együtt kell az ingatlantulajdonosnak a beruházás keretében átadni, a szükséges telepítési tervvel együtt. A tartálynak min. H=1400mm magasságúnak, min. 600mm átmérőjűnek, szagzáró fedlappal ellátottnak és rézsűs fenékkialakításúnak kell lennie, PP anyagú hengeres aknában. A gépészetének meg kell felelnie a DMRV ME 72011 műszaki előírás szerint: 1 db szivattyúval, ki-és bekapcsolási magasságban elhelyezett úszókapcsolókkal, szabvány szerinti KPE nyomócső csatlakozással, szerelvényekkel: golyós visszacsapó szeleppel, légtelenítő golyóscsappal, és földbe telepíthető, szárhosszabbítóval és csapszekrényben elhelyezett golyóscsappal), villamos kapcsolószekrénnyel. </w:t>
      </w:r>
    </w:p>
    <w:p>
      <w:pPr>
        <w:pStyle w:val="Normal"/>
        <w:rPr/>
      </w:pPr>
      <w:r>
        <w:rPr/>
        <w:t>Minden egyes típusválasztásnál figyelemmel kell lenni, hogy a szivattyú megfelelő teljesítményű legyen (legalább 1,5-2,0 l/s szállítási teljesítményt tudjon, a geodéziai adottságoknak megfelelő emelő magasság mellett). (A szállítási teljesítményre a nyomóvezetékben min.0,7-1,0 m/s sebességelérése miatt van szükség.) A házi átemelő üzemeltető és ingatlantulajdonos által jóváhagyott telepítési tervét a Projekt keretében el kell készíteni, azonban az átemelő telepítését az ingatlan tulajdonosának kell megtennie.</w:t>
      </w:r>
    </w:p>
    <w:p>
      <w:pPr>
        <w:pStyle w:val="Normal"/>
        <w:rPr/>
      </w:pPr>
      <w:r>
        <w:rPr/>
      </w:r>
    </w:p>
    <w:p>
      <w:pPr>
        <w:pStyle w:val="Cmsor2"/>
        <w:numPr>
          <w:ilvl w:val="1"/>
          <w:numId w:val="3"/>
        </w:numPr>
        <w:rPr/>
      </w:pPr>
      <w:r>
        <w:fldChar w:fldCharType="begin"/>
      </w:r>
      <w:r/>
      <w:r>
        <w:fldChar w:fldCharType="separate"/>
      </w:r>
      <w:bookmarkStart w:id="105" w:name="__Fieldmark__28354_1765705817"/>
      <w:r>
        <w:rPr/>
      </w:r>
      <w:r>
        <w:rPr/>
      </w:r>
      <w:r>
        <w:fldChar w:fldCharType="end"/>
      </w:r>
      <w:r>
        <w:fldChar w:fldCharType="begin"/>
      </w:r>
      <w:r/>
      <w:r>
        <w:fldChar w:fldCharType="separate"/>
      </w:r>
      <w:bookmarkStart w:id="106" w:name="__Fieldmark__10793_1765705817"/>
      <w:bookmarkStart w:id="107" w:name="__Fieldmark__28357_1765705817"/>
      <w:bookmarkEnd w:id="105"/>
      <w:r>
        <w:rPr/>
      </w:r>
      <w:r>
        <w:rPr/>
      </w:r>
      <w:r>
        <w:fldChar w:fldCharType="end"/>
      </w:r>
      <w:r>
        <w:fldChar w:fldCharType="begin"/>
      </w:r>
      <w:r/>
      <w:r>
        <w:fldChar w:fldCharType="separate"/>
      </w:r>
      <w:bookmarkStart w:id="108" w:name="__Fieldmark__10796_1765705817"/>
      <w:bookmarkStart w:id="109" w:name="__Fieldmark__15675_550565479"/>
      <w:bookmarkStart w:id="110" w:name="__Fieldmark__28362_1765705817"/>
      <w:bookmarkEnd w:id="106"/>
      <w:bookmarkEnd w:id="107"/>
      <w:r>
        <w:rPr/>
      </w:r>
      <w:r>
        <w:rPr/>
      </w:r>
      <w:r>
        <w:fldChar w:fldCharType="end"/>
      </w:r>
      <w:r>
        <w:fldChar w:fldCharType="begin"/>
      </w:r>
      <w:r/>
      <w:r>
        <w:fldChar w:fldCharType="separate"/>
      </w:r>
      <w:bookmarkStart w:id="111" w:name="__Fieldmark__10801_1765705817"/>
      <w:bookmarkStart w:id="112" w:name="__Fieldmark__10355_550565479"/>
      <w:bookmarkStart w:id="113" w:name="__Fieldmark__15678_550565479"/>
      <w:bookmarkStart w:id="114" w:name="__Fieldmark__28369_1765705817"/>
      <w:bookmarkEnd w:id="108"/>
      <w:bookmarkEnd w:id="109"/>
      <w:bookmarkEnd w:id="110"/>
      <w:r>
        <w:rPr/>
      </w:r>
      <w:r>
        <w:rPr/>
      </w:r>
      <w:r>
        <w:fldChar w:fldCharType="end"/>
      </w:r>
      <w:r>
        <w:fldChar w:fldCharType="begin"/>
      </w:r>
      <w:r/>
      <w:r>
        <w:fldChar w:fldCharType="separate"/>
      </w:r>
      <w:hyperlink w:anchor="_Toc141862563">
        <w:bookmarkStart w:id="115" w:name="__Fieldmark__28394_1765705817"/>
        <w:bookmarkStart w:id="116" w:name="__Fieldmark__10822_1765705817"/>
        <w:bookmarkStart w:id="117" w:name="__Fieldmark__10368_550565479"/>
        <w:bookmarkStart w:id="118" w:name="_Toc453756473"/>
        <w:bookmarkStart w:id="119" w:name="_Toc343773448"/>
        <w:bookmarkStart w:id="120" w:name="__Fieldmark__2599_550565479"/>
        <w:bookmarkStart w:id="121" w:name="__Fieldmark__15695_550565479"/>
        <w:bookmarkEnd w:id="111"/>
        <w:bookmarkEnd w:id="112"/>
        <w:bookmarkEnd w:id="113"/>
        <w:bookmarkEnd w:id="114"/>
        <w:bookmarkEnd w:id="116"/>
        <w:bookmarkEnd w:id="117"/>
        <w:bookmarkEnd w:id="118"/>
        <w:bookmarkEnd w:id="119"/>
        <w:bookmarkEnd w:id="120"/>
        <w:bookmarkEnd w:id="121"/>
        <w:r>
          <w:rPr>
            <w:webHidden/>
            <w:rStyle w:val="Internethivatkozs"/>
          </w:rPr>
        </w:r>
        <w:r>
          <w:rPr>
            <w:rStyle w:val="Internethivatkozs"/>
          </w:rPr>
        </w:r>
        <w:bookmarkEnd w:id="115"/>
        <w:r>
          <w:rPr>
            <w:webHidden/>
          </w:rPr>
          <w:fldChar w:fldCharType="begin"/>
        </w:r>
        <w:r>
          <w:rPr>
            <w:webHidden/>
          </w:rPr>
          <w:instrText>PAGEREF _Toc141862563 \h</w:instrText>
        </w:r>
        <w:r>
          <w:rPr>
            <w:webHidden/>
          </w:rPr>
          <w:fldChar w:fldCharType="separate"/>
        </w:r>
        <w:r>
          <w:rPr>
            <w:rStyle w:val="Internethivatkozs"/>
          </w:rPr>
          <w:fldChar w:fldCharType="begin"/>
        </w:r>
        <w:r>
          <w:rPr>
            <w:webHidden/>
          </w:rPr>
          <w:fldChar w:fldCharType="end"/>
        </w:r>
        <w:r>
          <w:instrText> PAGEREF _Toc141862563 \h </w:instrText>
        </w:r>
        <w:r>
          <w:fldChar w:fldCharType="separate"/>
        </w:r>
        <w:r>
          <w:t>Hiba: A hivatkozás forrása nem található</w:t>
        </w:r>
        <w:r>
          <w:fldChar w:fldCharType="end"/>
        </w:r>
      </w:hyperlink>
      <w:r>
        <w:fldChar w:fldCharType="end"/>
      </w:r>
    </w:p>
    <w:p>
      <w:pPr>
        <w:pStyle w:val="Normal"/>
        <w:spacing w:before="120" w:after="120"/>
        <w:rPr>
          <w:szCs w:val="24"/>
        </w:rPr>
      </w:pPr>
      <w:r>
        <w:rPr>
          <w:szCs w:val="24"/>
        </w:rPr>
        <w:t>A kiviteli továbbtervezésénél a következő szempontokat figyelembe kell venni:</w:t>
      </w:r>
    </w:p>
    <w:p>
      <w:pPr>
        <w:pStyle w:val="Normal"/>
        <w:numPr>
          <w:ilvl w:val="0"/>
          <w:numId w:val="31"/>
        </w:numPr>
        <w:suppressAutoHyphens w:val="false"/>
        <w:ind w:left="714" w:hanging="357"/>
        <w:rPr>
          <w:szCs w:val="24"/>
        </w:rPr>
      </w:pPr>
      <w:r>
        <w:rPr>
          <w:szCs w:val="24"/>
        </w:rPr>
        <w:t>Tekintettel kell lenni a meglévő víz-, gázvezeték, távközlési és kábel tv hálózatra, az azoktól való távolságok a szabványnak megfeleljenek.</w:t>
      </w:r>
    </w:p>
    <w:p>
      <w:pPr>
        <w:pStyle w:val="Normal"/>
        <w:numPr>
          <w:ilvl w:val="0"/>
          <w:numId w:val="31"/>
        </w:numPr>
        <w:suppressAutoHyphens w:val="false"/>
        <w:ind w:left="714" w:hanging="357"/>
        <w:rPr>
          <w:szCs w:val="24"/>
        </w:rPr>
      </w:pPr>
      <w:r>
        <w:rPr>
          <w:szCs w:val="24"/>
        </w:rPr>
        <w:t>Ahol a tervezett csatornahálózat és a meglévő közmű közötti védőtávolság egyértelműen nem betartható, ott közműkiváltást kell előirányozni.</w:t>
      </w:r>
    </w:p>
    <w:p>
      <w:pPr>
        <w:pStyle w:val="Normal"/>
        <w:numPr>
          <w:ilvl w:val="0"/>
          <w:numId w:val="31"/>
        </w:numPr>
        <w:suppressAutoHyphens w:val="false"/>
        <w:ind w:left="714" w:hanging="357"/>
        <w:jc w:val="left"/>
        <w:rPr>
          <w:szCs w:val="24"/>
        </w:rPr>
      </w:pPr>
      <w:r>
        <w:rPr>
          <w:szCs w:val="24"/>
        </w:rPr>
        <w:t>A közművek áthelyezését csak a közmű tulajdonosa végezheti el.</w:t>
      </w:r>
    </w:p>
    <w:p>
      <w:pPr>
        <w:pStyle w:val="Normal"/>
        <w:numPr>
          <w:ilvl w:val="0"/>
          <w:numId w:val="31"/>
        </w:numPr>
        <w:suppressAutoHyphens w:val="false"/>
        <w:ind w:left="714" w:hanging="357"/>
        <w:rPr>
          <w:szCs w:val="24"/>
        </w:rPr>
      </w:pPr>
      <w:r>
        <w:rPr>
          <w:szCs w:val="24"/>
        </w:rPr>
        <w:t>A csatornaépítést követően a meglévő földutakat rendezett állapotban, tereprendezés, oldalesés (meglévő belvízelvezető árok felé) biztosításával, idegen (közlekedést akadályozó) anyagok elszállításával kell az Önkormányzat részére átadni.</w:t>
      </w:r>
    </w:p>
    <w:p>
      <w:pPr>
        <w:pStyle w:val="Normal"/>
        <w:numPr>
          <w:ilvl w:val="0"/>
          <w:numId w:val="31"/>
        </w:numPr>
        <w:suppressAutoHyphens w:val="false"/>
        <w:ind w:left="714" w:hanging="357"/>
        <w:rPr>
          <w:szCs w:val="24"/>
        </w:rPr>
      </w:pPr>
      <w:r>
        <w:rPr>
          <w:szCs w:val="24"/>
        </w:rPr>
        <w:t xml:space="preserve">A tervezett csatornák és a meglévő közművek keresztezésében, párhuzamos vezetésében a közművek védelmét (szabvány szerinti védőtávolság megtartásával) biztosítani kell. Amennyiben a védőtávolság nem biztosítható, úgy a közművek kiváltását, egyéni védelmét meg kell oldani. A tervezett beavatkozásról, annak tervezett módját az építés megkezdése előtt egyeztetni szükséges a közmű üzemeltetőjével. </w:t>
      </w:r>
    </w:p>
    <w:p>
      <w:pPr>
        <w:pStyle w:val="Cmsor3"/>
        <w:numPr>
          <w:ilvl w:val="2"/>
          <w:numId w:val="3"/>
        </w:numPr>
        <w:rPr/>
      </w:pPr>
      <w:bookmarkStart w:id="122" w:name="_Toc453756474"/>
      <w:bookmarkStart w:id="123" w:name="_Toc343773449"/>
      <w:bookmarkEnd w:id="122"/>
      <w:bookmarkEnd w:id="123"/>
      <w:r>
        <w:rPr/>
        <w:t>Út – és egyéb keresztezések</w:t>
      </w:r>
    </w:p>
    <w:p>
      <w:pPr>
        <w:pStyle w:val="Normal"/>
        <w:spacing w:before="120" w:after="120"/>
        <w:rPr>
          <w:szCs w:val="24"/>
        </w:rPr>
      </w:pPr>
      <w:r>
        <w:rPr>
          <w:szCs w:val="24"/>
        </w:rPr>
        <w:t>Minden útburkolat alá kerülő csatornaszakasz építését követően az előírások szerinti tömörségi vizsgálatot kell elvégezni.</w:t>
      </w:r>
    </w:p>
    <w:p>
      <w:pPr>
        <w:pStyle w:val="Normal"/>
        <w:spacing w:before="120" w:after="120"/>
        <w:rPr>
          <w:szCs w:val="24"/>
        </w:rPr>
      </w:pPr>
      <w:r>
        <w:rPr>
          <w:szCs w:val="24"/>
        </w:rPr>
        <w:t>A vizsgálat jegyzőkönyve az átadás-átvételi dokumentáció része, az igazolja a visszatöltések 95 % Tr</w:t>
      </w:r>
      <w:r>
        <w:rPr/>
        <w:t>γ</w:t>
      </w:r>
      <w:r>
        <w:rPr>
          <w:szCs w:val="24"/>
        </w:rPr>
        <w:t xml:space="preserve"> tömörségét a felső 1 m-es zónában. Kisebb tömörség nem fogadható el!</w:t>
      </w:r>
    </w:p>
    <w:p>
      <w:pPr>
        <w:pStyle w:val="Normal"/>
        <w:spacing w:before="120" w:after="120"/>
        <w:rPr>
          <w:szCs w:val="24"/>
        </w:rPr>
      </w:pPr>
      <w:r>
        <w:rPr>
          <w:szCs w:val="24"/>
        </w:rPr>
        <w:t>Közlekedési utak esetében a Közútkezelő előírásait kell betartani az átfúrás, átsajtolás, az építés utáni helyreállítást és az úttal párhuzamos vezetés tekintetében egyaránt.</w:t>
      </w:r>
    </w:p>
    <w:p>
      <w:pPr>
        <w:pStyle w:val="Normal"/>
        <w:spacing w:before="120" w:after="120"/>
        <w:rPr>
          <w:szCs w:val="24"/>
        </w:rPr>
      </w:pPr>
      <w:r>
        <w:rPr>
          <w:szCs w:val="24"/>
        </w:rPr>
        <w:t>A csatorna, és/vagy műtárgyépítés után az útburkolat melletti padkát és a zöldterületen a meglévő vízelvezető árkot tereprendezéssel rendezett állapotra kell hozni.</w:t>
      </w:r>
    </w:p>
    <w:p>
      <w:pPr>
        <w:pStyle w:val="Cmsor3"/>
        <w:numPr>
          <w:ilvl w:val="2"/>
          <w:numId w:val="3"/>
        </w:numPr>
        <w:rPr/>
      </w:pPr>
      <w:r>
        <w:fldChar w:fldCharType="begin"/>
      </w:r>
      <w:r/>
      <w:r>
        <w:fldChar w:fldCharType="separate"/>
      </w:r>
      <w:bookmarkStart w:id="124" w:name="__Fieldmark__28417_1765705817"/>
      <w:r>
        <w:rPr/>
      </w:r>
      <w:r>
        <w:rPr/>
      </w:r>
      <w:r>
        <w:fldChar w:fldCharType="end"/>
      </w:r>
      <w:r>
        <w:fldChar w:fldCharType="begin"/>
      </w:r>
      <w:r/>
      <w:r>
        <w:fldChar w:fldCharType="separate"/>
      </w:r>
      <w:bookmarkStart w:id="125" w:name="__Fieldmark__10845_1765705817"/>
      <w:bookmarkStart w:id="126" w:name="__Fieldmark__28420_1765705817"/>
      <w:bookmarkEnd w:id="124"/>
      <w:r>
        <w:rPr/>
      </w:r>
      <w:r>
        <w:rPr/>
      </w:r>
      <w:r>
        <w:fldChar w:fldCharType="end"/>
      </w:r>
      <w:r>
        <w:fldChar w:fldCharType="begin"/>
      </w:r>
      <w:r/>
      <w:r>
        <w:fldChar w:fldCharType="separate"/>
      </w:r>
      <w:bookmarkStart w:id="127" w:name="__Fieldmark__10848_1765705817"/>
      <w:bookmarkStart w:id="128" w:name="__Fieldmark__15718_550565479"/>
      <w:bookmarkStart w:id="129" w:name="__Fieldmark__28425_1765705817"/>
      <w:bookmarkEnd w:id="125"/>
      <w:bookmarkEnd w:id="126"/>
      <w:r>
        <w:rPr/>
      </w:r>
      <w:r>
        <w:rPr/>
      </w:r>
      <w:r>
        <w:fldChar w:fldCharType="end"/>
      </w:r>
      <w:r>
        <w:fldChar w:fldCharType="begin"/>
      </w:r>
      <w:r/>
      <w:r>
        <w:fldChar w:fldCharType="separate"/>
      </w:r>
      <w:bookmarkStart w:id="130" w:name="__Fieldmark__10853_1765705817"/>
      <w:bookmarkStart w:id="131" w:name="__Fieldmark__10391_550565479"/>
      <w:bookmarkStart w:id="132" w:name="__Fieldmark__15721_550565479"/>
      <w:bookmarkStart w:id="133" w:name="__Fieldmark__28432_1765705817"/>
      <w:bookmarkEnd w:id="127"/>
      <w:bookmarkEnd w:id="128"/>
      <w:bookmarkEnd w:id="129"/>
      <w:r>
        <w:rPr/>
      </w:r>
      <w:r>
        <w:rPr/>
      </w:r>
      <w:r>
        <w:fldChar w:fldCharType="end"/>
      </w:r>
      <w:r>
        <w:fldChar w:fldCharType="begin"/>
      </w:r>
      <w:r/>
      <w:r>
        <w:fldChar w:fldCharType="separate"/>
      </w:r>
      <w:hyperlink w:anchor="_Toc141862564">
        <w:bookmarkStart w:id="134" w:name="__Fieldmark__28457_1765705817"/>
        <w:bookmarkStart w:id="135" w:name="__Fieldmark__10874_1765705817"/>
        <w:bookmarkStart w:id="136" w:name="__Fieldmark__10404_550565479"/>
        <w:bookmarkStart w:id="137" w:name="_Toc453756475"/>
        <w:bookmarkStart w:id="138" w:name="_Toc343773450"/>
        <w:bookmarkStart w:id="139" w:name="__Fieldmark__2630_550565479"/>
        <w:bookmarkStart w:id="140" w:name="__Fieldmark__15738_550565479"/>
        <w:bookmarkEnd w:id="130"/>
        <w:bookmarkEnd w:id="131"/>
        <w:bookmarkEnd w:id="132"/>
        <w:bookmarkEnd w:id="133"/>
        <w:bookmarkEnd w:id="135"/>
        <w:bookmarkEnd w:id="136"/>
        <w:bookmarkEnd w:id="137"/>
        <w:bookmarkEnd w:id="138"/>
        <w:bookmarkEnd w:id="139"/>
        <w:bookmarkEnd w:id="140"/>
        <w:r>
          <w:rPr>
            <w:webHidden/>
            <w:rStyle w:val="Internethivatkozs"/>
          </w:rPr>
        </w:r>
        <w:r>
          <w:rPr>
            <w:rStyle w:val="Internethivatkozs"/>
          </w:rPr>
        </w:r>
        <w:bookmarkEnd w:id="134"/>
        <w:r>
          <w:rPr>
            <w:webHidden/>
          </w:rPr>
          <w:fldChar w:fldCharType="begin"/>
        </w:r>
        <w:r>
          <w:rPr>
            <w:webHidden/>
          </w:rPr>
          <w:instrText>PAGEREF _Toc141862564 \h</w:instrText>
        </w:r>
        <w:r>
          <w:rPr>
            <w:webHidden/>
          </w:rPr>
          <w:fldChar w:fldCharType="separate"/>
        </w:r>
        <w:r>
          <w:rPr>
            <w:rStyle w:val="Internethivatkozs"/>
          </w:rPr>
          <w:fldChar w:fldCharType="begin"/>
        </w:r>
        <w:r>
          <w:rPr>
            <w:webHidden/>
          </w:rPr>
          <w:fldChar w:fldCharType="end"/>
        </w:r>
        <w:r>
          <w:instrText> PAGEREF _Toc141862564 \h </w:instrText>
        </w:r>
        <w:r>
          <w:fldChar w:fldCharType="separate"/>
        </w:r>
        <w:r>
          <w:t>Hiba: A hivatkozás forrása nem található</w:t>
        </w:r>
        <w:r>
          <w:fldChar w:fldCharType="end"/>
        </w:r>
      </w:hyperlink>
      <w:r>
        <w:fldChar w:fldCharType="end"/>
      </w:r>
    </w:p>
    <w:p>
      <w:pPr>
        <w:pStyle w:val="Normal"/>
        <w:spacing w:before="120" w:after="120"/>
        <w:rPr>
          <w:szCs w:val="24"/>
        </w:rPr>
      </w:pPr>
      <w:r>
        <w:rPr>
          <w:szCs w:val="24"/>
        </w:rPr>
        <w:t>A tervezett létesítmények védőtávolságai a meglévő közművektől (MSZ 7487/2:1980 és a 123/1997 (VII.18.) Kormány rendelet 4. sz. mellékletében előírt védőterületek, védőtávolságok figyelembevételével):</w:t>
      </w:r>
    </w:p>
    <w:p>
      <w:pPr>
        <w:pStyle w:val="Normal"/>
        <w:spacing w:before="120" w:after="120"/>
        <w:rPr>
          <w:szCs w:val="24"/>
        </w:rPr>
      </w:pPr>
      <w:r>
        <w:rPr/>
        <w:drawing>
          <wp:inline distT="0" distB="0" distL="0" distR="0">
            <wp:extent cx="5762625" cy="2695575"/>
            <wp:effectExtent l="0" t="0" r="0" b="0"/>
            <wp:docPr id="3" name="Kép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
                    <pic:cNvPicPr>
                      <a:picLocks noChangeAspect="1" noChangeArrowheads="1"/>
                    </pic:cNvPicPr>
                  </pic:nvPicPr>
                  <pic:blipFill>
                    <a:blip r:embed="rId5"/>
                    <a:stretch>
                      <a:fillRect/>
                    </a:stretch>
                  </pic:blipFill>
                  <pic:spPr bwMode="auto">
                    <a:xfrm>
                      <a:off x="0" y="0"/>
                      <a:ext cx="5762625" cy="2695575"/>
                    </a:xfrm>
                    <a:prstGeom prst="rect">
                      <a:avLst/>
                    </a:prstGeom>
                  </pic:spPr>
                </pic:pic>
              </a:graphicData>
            </a:graphic>
          </wp:inline>
        </w:drawing>
      </w:r>
    </w:p>
    <w:p>
      <w:pPr>
        <w:pStyle w:val="Szvegtrzs"/>
        <w:rPr/>
      </w:pPr>
      <w:r>
        <w:rPr/>
        <w:t>További jogszabályi háttér: 147/2010. (IV. 29.) Korm. rendelet a vizek hasznosítását, védelmét és kártételeinek elhárítását szolgáló tevékenységekre és létesítményekre vonatkozó általános szabályokról – 1. sz. melléklete.</w:t>
      </w:r>
    </w:p>
    <w:p>
      <w:pPr>
        <w:pStyle w:val="Cmsor3"/>
        <w:numPr>
          <w:ilvl w:val="2"/>
          <w:numId w:val="3"/>
        </w:numPr>
        <w:rPr/>
      </w:pPr>
      <w:r>
        <w:fldChar w:fldCharType="begin"/>
      </w:r>
      <w:r/>
      <w:r>
        <w:fldChar w:fldCharType="separate"/>
      </w:r>
      <w:bookmarkStart w:id="141" w:name="__Fieldmark__28464_1765705817"/>
      <w:r>
        <w:rPr/>
      </w:r>
      <w:r>
        <w:rPr/>
      </w:r>
      <w:r>
        <w:fldChar w:fldCharType="end"/>
      </w:r>
      <w:r>
        <w:fldChar w:fldCharType="begin"/>
      </w:r>
      <w:r/>
      <w:r>
        <w:fldChar w:fldCharType="separate"/>
      </w:r>
      <w:bookmarkStart w:id="142" w:name="__Fieldmark__10881_1765705817"/>
      <w:bookmarkStart w:id="143" w:name="__Fieldmark__28467_1765705817"/>
      <w:bookmarkEnd w:id="141"/>
      <w:r>
        <w:rPr/>
      </w:r>
      <w:r>
        <w:rPr/>
      </w:r>
      <w:r>
        <w:fldChar w:fldCharType="end"/>
      </w:r>
      <w:r>
        <w:fldChar w:fldCharType="begin"/>
      </w:r>
      <w:r/>
      <w:r>
        <w:fldChar w:fldCharType="separate"/>
      </w:r>
      <w:bookmarkStart w:id="144" w:name="__Fieldmark__10884_1765705817"/>
      <w:bookmarkStart w:id="145" w:name="__Fieldmark__15745_550565479"/>
      <w:bookmarkStart w:id="146" w:name="__Fieldmark__28472_1765705817"/>
      <w:bookmarkEnd w:id="142"/>
      <w:bookmarkEnd w:id="143"/>
      <w:r>
        <w:rPr/>
      </w:r>
      <w:r>
        <w:rPr/>
      </w:r>
      <w:r>
        <w:fldChar w:fldCharType="end"/>
      </w:r>
      <w:r>
        <w:fldChar w:fldCharType="begin"/>
      </w:r>
      <w:r/>
      <w:r>
        <w:fldChar w:fldCharType="separate"/>
      </w:r>
      <w:bookmarkStart w:id="147" w:name="__Fieldmark__10889_1765705817"/>
      <w:bookmarkStart w:id="148" w:name="__Fieldmark__10411_550565479"/>
      <w:bookmarkStart w:id="149" w:name="__Fieldmark__15748_550565479"/>
      <w:bookmarkStart w:id="150" w:name="__Fieldmark__28479_1765705817"/>
      <w:bookmarkEnd w:id="144"/>
      <w:bookmarkEnd w:id="145"/>
      <w:bookmarkEnd w:id="146"/>
      <w:r>
        <w:rPr/>
      </w:r>
      <w:r>
        <w:rPr/>
      </w:r>
      <w:r>
        <w:fldChar w:fldCharType="end"/>
      </w:r>
      <w:r>
        <w:fldChar w:fldCharType="begin"/>
      </w:r>
      <w:r/>
      <w:r>
        <w:fldChar w:fldCharType="separate"/>
      </w:r>
      <w:hyperlink w:anchor="_Toc141862565">
        <w:bookmarkStart w:id="151" w:name="__Fieldmark__28504_1765705817"/>
        <w:bookmarkStart w:id="152" w:name="__Fieldmark__10910_1765705817"/>
        <w:bookmarkStart w:id="153" w:name="__Fieldmark__10424_550565479"/>
        <w:bookmarkStart w:id="154" w:name="_Toc453756476"/>
        <w:bookmarkStart w:id="155" w:name="_Toc343773451"/>
        <w:bookmarkStart w:id="156" w:name="__Fieldmark__2645_550565479"/>
        <w:bookmarkStart w:id="157" w:name="__Fieldmark__15765_550565479"/>
        <w:bookmarkEnd w:id="147"/>
        <w:bookmarkEnd w:id="148"/>
        <w:bookmarkEnd w:id="149"/>
        <w:bookmarkEnd w:id="150"/>
        <w:bookmarkEnd w:id="152"/>
        <w:bookmarkEnd w:id="153"/>
        <w:bookmarkEnd w:id="154"/>
        <w:bookmarkEnd w:id="155"/>
        <w:bookmarkEnd w:id="156"/>
        <w:bookmarkEnd w:id="157"/>
        <w:r>
          <w:rPr>
            <w:webHidden/>
            <w:rStyle w:val="Internethivatkozs"/>
          </w:rPr>
        </w:r>
        <w:r>
          <w:rPr>
            <w:rStyle w:val="Internethivatkozs"/>
          </w:rPr>
        </w:r>
        <w:bookmarkEnd w:id="151"/>
        <w:r>
          <w:rPr>
            <w:webHidden/>
          </w:rPr>
          <w:fldChar w:fldCharType="begin"/>
        </w:r>
        <w:r>
          <w:rPr>
            <w:webHidden/>
          </w:rPr>
          <w:instrText>PAGEREF _Toc141862565 \h</w:instrText>
        </w:r>
        <w:r>
          <w:rPr>
            <w:webHidden/>
          </w:rPr>
          <w:fldChar w:fldCharType="separate"/>
        </w:r>
        <w:r>
          <w:rPr>
            <w:rStyle w:val="Internethivatkozs"/>
          </w:rPr>
          <w:fldChar w:fldCharType="begin"/>
        </w:r>
        <w:r>
          <w:rPr>
            <w:webHidden/>
          </w:rPr>
          <w:fldChar w:fldCharType="end"/>
        </w:r>
        <w:r>
          <w:instrText> PAGEREF _Toc141862565 \h </w:instrText>
        </w:r>
        <w:r>
          <w:fldChar w:fldCharType="separate"/>
        </w:r>
        <w:r>
          <w:t>Hiba: A hivatkozás forrása nem található</w:t>
        </w:r>
        <w:r>
          <w:fldChar w:fldCharType="end"/>
        </w:r>
      </w:hyperlink>
      <w:r>
        <w:fldChar w:fldCharType="end"/>
      </w:r>
    </w:p>
    <w:p>
      <w:pPr>
        <w:pStyle w:val="Normal"/>
        <w:spacing w:before="120" w:after="120"/>
        <w:rPr>
          <w:szCs w:val="24"/>
        </w:rPr>
      </w:pPr>
      <w:r>
        <w:rPr>
          <w:szCs w:val="24"/>
        </w:rPr>
        <w:t>Gázvezetékek környezetében szigorúan be kell tartani a Gázszolgáltató nyilatkozatait és a „Műszaki leírásban” rögzített előírásokat!</w:t>
      </w:r>
    </w:p>
    <w:p>
      <w:pPr>
        <w:pStyle w:val="Cmsor3"/>
        <w:numPr>
          <w:ilvl w:val="2"/>
          <w:numId w:val="3"/>
        </w:numPr>
        <w:rPr/>
      </w:pPr>
      <w:r>
        <w:fldChar w:fldCharType="begin"/>
      </w:r>
      <w:r/>
      <w:r>
        <w:fldChar w:fldCharType="separate"/>
      </w:r>
      <w:bookmarkStart w:id="158" w:name="__Fieldmark__28509_1765705817"/>
      <w:r>
        <w:rPr/>
      </w:r>
      <w:r>
        <w:rPr/>
      </w:r>
      <w:r>
        <w:fldChar w:fldCharType="end"/>
      </w:r>
      <w:r>
        <w:fldChar w:fldCharType="begin"/>
      </w:r>
      <w:r/>
      <w:r>
        <w:fldChar w:fldCharType="separate"/>
      </w:r>
      <w:bookmarkStart w:id="159" w:name="__Fieldmark__10915_1765705817"/>
      <w:bookmarkStart w:id="160" w:name="__Fieldmark__28512_1765705817"/>
      <w:bookmarkEnd w:id="158"/>
      <w:r>
        <w:rPr/>
      </w:r>
      <w:r>
        <w:rPr/>
      </w:r>
      <w:r>
        <w:fldChar w:fldCharType="end"/>
      </w:r>
      <w:r>
        <w:fldChar w:fldCharType="begin"/>
      </w:r>
      <w:r/>
      <w:r>
        <w:fldChar w:fldCharType="separate"/>
      </w:r>
      <w:bookmarkStart w:id="161" w:name="__Fieldmark__10918_1765705817"/>
      <w:bookmarkStart w:id="162" w:name="__Fieldmark__15770_550565479"/>
      <w:bookmarkStart w:id="163" w:name="__Fieldmark__28517_1765705817"/>
      <w:bookmarkEnd w:id="159"/>
      <w:bookmarkEnd w:id="160"/>
      <w:r>
        <w:rPr/>
      </w:r>
      <w:r>
        <w:rPr/>
      </w:r>
      <w:r>
        <w:fldChar w:fldCharType="end"/>
      </w:r>
      <w:r>
        <w:fldChar w:fldCharType="begin"/>
      </w:r>
      <w:r/>
      <w:r>
        <w:fldChar w:fldCharType="separate"/>
      </w:r>
      <w:bookmarkStart w:id="164" w:name="__Fieldmark__10923_1765705817"/>
      <w:bookmarkStart w:id="165" w:name="__Fieldmark__10429_550565479"/>
      <w:bookmarkStart w:id="166" w:name="__Fieldmark__15773_550565479"/>
      <w:bookmarkStart w:id="167" w:name="__Fieldmark__28524_1765705817"/>
      <w:bookmarkEnd w:id="161"/>
      <w:bookmarkEnd w:id="162"/>
      <w:bookmarkEnd w:id="163"/>
      <w:r>
        <w:rPr/>
      </w:r>
      <w:r>
        <w:rPr/>
      </w:r>
      <w:r>
        <w:fldChar w:fldCharType="end"/>
      </w:r>
      <w:r>
        <w:fldChar w:fldCharType="begin"/>
      </w:r>
      <w:r/>
      <w:r>
        <w:fldChar w:fldCharType="separate"/>
      </w:r>
      <w:hyperlink w:anchor="_Toc141862566">
        <w:bookmarkStart w:id="168" w:name="__Fieldmark__28549_1765705817"/>
        <w:bookmarkStart w:id="169" w:name="__Fieldmark__10944_1765705817"/>
        <w:bookmarkStart w:id="170" w:name="__Fieldmark__10442_550565479"/>
        <w:bookmarkStart w:id="171" w:name="_Toc453756477"/>
        <w:bookmarkStart w:id="172" w:name="_Toc343773452"/>
        <w:bookmarkStart w:id="173" w:name="__Fieldmark__2658_550565479"/>
        <w:bookmarkStart w:id="174" w:name="__Fieldmark__15790_550565479"/>
        <w:bookmarkEnd w:id="164"/>
        <w:bookmarkEnd w:id="165"/>
        <w:bookmarkEnd w:id="166"/>
        <w:bookmarkEnd w:id="167"/>
        <w:bookmarkEnd w:id="169"/>
        <w:bookmarkEnd w:id="170"/>
        <w:bookmarkEnd w:id="171"/>
        <w:bookmarkEnd w:id="172"/>
        <w:bookmarkEnd w:id="173"/>
        <w:bookmarkEnd w:id="174"/>
        <w:r>
          <w:rPr>
            <w:webHidden/>
            <w:rStyle w:val="Internethivatkozs"/>
          </w:rPr>
        </w:r>
        <w:r>
          <w:rPr>
            <w:rStyle w:val="Internethivatkozs"/>
          </w:rPr>
        </w:r>
        <w:bookmarkEnd w:id="168"/>
        <w:r>
          <w:rPr>
            <w:webHidden/>
          </w:rPr>
          <w:fldChar w:fldCharType="begin"/>
        </w:r>
        <w:r>
          <w:rPr>
            <w:webHidden/>
          </w:rPr>
          <w:instrText>PAGEREF _Toc141862566 \h</w:instrText>
        </w:r>
        <w:r>
          <w:rPr>
            <w:webHidden/>
          </w:rPr>
          <w:fldChar w:fldCharType="separate"/>
        </w:r>
        <w:r>
          <w:rPr>
            <w:rStyle w:val="Internethivatkozs"/>
          </w:rPr>
          <w:fldChar w:fldCharType="begin"/>
        </w:r>
        <w:r>
          <w:rPr>
            <w:webHidden/>
          </w:rPr>
          <w:fldChar w:fldCharType="end"/>
        </w:r>
        <w:r>
          <w:instrText> PAGEREF _Toc141862566 \h </w:instrText>
        </w:r>
        <w:r>
          <w:fldChar w:fldCharType="separate"/>
        </w:r>
        <w:r>
          <w:t>Hiba: A hivatkozás forrása nem található</w:t>
        </w:r>
        <w:r>
          <w:fldChar w:fldCharType="end"/>
        </w:r>
      </w:hyperlink>
      <w:r>
        <w:fldChar w:fldCharType="end"/>
      </w:r>
    </w:p>
    <w:p>
      <w:pPr>
        <w:pStyle w:val="Normal"/>
        <w:spacing w:before="120" w:after="120"/>
        <w:rPr>
          <w:szCs w:val="24"/>
        </w:rPr>
      </w:pPr>
      <w:r>
        <w:rPr>
          <w:szCs w:val="24"/>
        </w:rPr>
        <w:t>A tervezett létesítmények védőtávolságai a meglévő közművektől (MSZ 7487/2:1980):</w:t>
      </w:r>
    </w:p>
    <w:p>
      <w:pPr>
        <w:pStyle w:val="Normal"/>
        <w:numPr>
          <w:ilvl w:val="0"/>
          <w:numId w:val="32"/>
        </w:numPr>
        <w:suppressAutoHyphens w:val="false"/>
        <w:spacing w:before="120" w:after="120"/>
        <w:jc w:val="left"/>
        <w:rPr>
          <w:szCs w:val="24"/>
        </w:rPr>
      </w:pPr>
      <w:r>
        <w:rPr>
          <w:szCs w:val="24"/>
        </w:rPr>
        <w:t>távközlő kábel 1,0 m</w:t>
      </w:r>
    </w:p>
    <w:p>
      <w:pPr>
        <w:pStyle w:val="Normal"/>
        <w:numPr>
          <w:ilvl w:val="0"/>
          <w:numId w:val="32"/>
        </w:numPr>
        <w:suppressAutoHyphens w:val="false"/>
        <w:spacing w:before="120" w:after="120"/>
        <w:jc w:val="left"/>
        <w:rPr>
          <w:szCs w:val="24"/>
        </w:rPr>
      </w:pPr>
      <w:r>
        <w:rPr>
          <w:szCs w:val="24"/>
        </w:rPr>
        <w:t>erősáramú kábel 1,0 m</w:t>
      </w:r>
    </w:p>
    <w:p>
      <w:pPr>
        <w:pStyle w:val="Szvegtrzs"/>
        <w:rPr/>
      </w:pPr>
      <w:r>
        <w:rPr/>
        <w:t>Jogszabályi háttér: 8/2012. (I. 26.) NMHH rendelet az elektronikus hírközlési építmények egyéb nyomvonalas építményfajtákkal való keresztezéséről, megközelítéséről és védelméről.</w:t>
      </w:r>
    </w:p>
    <w:p>
      <w:pPr>
        <w:pStyle w:val="Cmsor3"/>
        <w:numPr>
          <w:ilvl w:val="2"/>
          <w:numId w:val="3"/>
        </w:numPr>
        <w:rPr/>
      </w:pPr>
      <w:r>
        <w:fldChar w:fldCharType="begin"/>
      </w:r>
      <w:r/>
      <w:r>
        <w:fldChar w:fldCharType="separate"/>
      </w:r>
      <w:bookmarkStart w:id="175" w:name="__Fieldmark__28557_1765705817"/>
      <w:r>
        <w:rPr/>
      </w:r>
      <w:r>
        <w:rPr/>
      </w:r>
      <w:r>
        <w:fldChar w:fldCharType="end"/>
      </w:r>
      <w:r>
        <w:fldChar w:fldCharType="begin"/>
      </w:r>
      <w:r/>
      <w:r>
        <w:fldChar w:fldCharType="separate"/>
      </w:r>
      <w:bookmarkStart w:id="176" w:name="__Fieldmark__10952_1765705817"/>
      <w:bookmarkStart w:id="177" w:name="__Fieldmark__28560_1765705817"/>
      <w:bookmarkEnd w:id="175"/>
      <w:r>
        <w:rPr/>
      </w:r>
      <w:r>
        <w:rPr/>
      </w:r>
      <w:r>
        <w:fldChar w:fldCharType="end"/>
      </w:r>
      <w:r>
        <w:fldChar w:fldCharType="begin"/>
      </w:r>
      <w:r/>
      <w:r>
        <w:fldChar w:fldCharType="separate"/>
      </w:r>
      <w:bookmarkStart w:id="178" w:name="__Fieldmark__10955_1765705817"/>
      <w:bookmarkStart w:id="179" w:name="__Fieldmark__15798_550565479"/>
      <w:bookmarkStart w:id="180" w:name="__Fieldmark__28565_1765705817"/>
      <w:bookmarkEnd w:id="176"/>
      <w:bookmarkEnd w:id="177"/>
      <w:r>
        <w:rPr/>
      </w:r>
      <w:r>
        <w:rPr/>
      </w:r>
      <w:r>
        <w:fldChar w:fldCharType="end"/>
      </w:r>
      <w:r>
        <w:fldChar w:fldCharType="begin"/>
      </w:r>
      <w:r/>
      <w:r>
        <w:fldChar w:fldCharType="separate"/>
      </w:r>
      <w:bookmarkStart w:id="181" w:name="__Fieldmark__10960_1765705817"/>
      <w:bookmarkStart w:id="182" w:name="__Fieldmark__10450_550565479"/>
      <w:bookmarkStart w:id="183" w:name="__Fieldmark__15801_550565479"/>
      <w:bookmarkStart w:id="184" w:name="__Fieldmark__28572_1765705817"/>
      <w:bookmarkEnd w:id="178"/>
      <w:bookmarkEnd w:id="179"/>
      <w:bookmarkEnd w:id="180"/>
      <w:r>
        <w:rPr/>
      </w:r>
      <w:r>
        <w:rPr/>
      </w:r>
      <w:r>
        <w:fldChar w:fldCharType="end"/>
      </w:r>
      <w:r>
        <w:fldChar w:fldCharType="begin"/>
      </w:r>
      <w:r/>
      <w:r>
        <w:fldChar w:fldCharType="separate"/>
      </w:r>
      <w:hyperlink w:anchor="_Toc141862567">
        <w:bookmarkStart w:id="185" w:name="__Fieldmark__28597_1765705817"/>
        <w:bookmarkStart w:id="186" w:name="__Fieldmark__10981_1765705817"/>
        <w:bookmarkStart w:id="187" w:name="__Fieldmark__10463_550565479"/>
        <w:bookmarkStart w:id="188" w:name="_Toc453756478"/>
        <w:bookmarkStart w:id="189" w:name="_Toc343773453"/>
        <w:bookmarkStart w:id="190" w:name="__Fieldmark__2674_550565479"/>
        <w:bookmarkStart w:id="191" w:name="__Fieldmark__15818_550565479"/>
        <w:bookmarkEnd w:id="181"/>
        <w:bookmarkEnd w:id="182"/>
        <w:bookmarkEnd w:id="183"/>
        <w:bookmarkEnd w:id="184"/>
        <w:bookmarkEnd w:id="186"/>
        <w:bookmarkEnd w:id="187"/>
        <w:bookmarkEnd w:id="188"/>
        <w:bookmarkEnd w:id="189"/>
        <w:bookmarkEnd w:id="190"/>
        <w:bookmarkEnd w:id="191"/>
        <w:r>
          <w:rPr>
            <w:webHidden/>
            <w:rStyle w:val="Internethivatkozs"/>
          </w:rPr>
        </w:r>
        <w:r>
          <w:rPr>
            <w:rStyle w:val="Internethivatkozs"/>
          </w:rPr>
        </w:r>
        <w:bookmarkEnd w:id="185"/>
        <w:r>
          <w:rPr>
            <w:webHidden/>
          </w:rPr>
          <w:fldChar w:fldCharType="begin"/>
        </w:r>
        <w:r>
          <w:rPr>
            <w:webHidden/>
          </w:rPr>
          <w:instrText>PAGEREF _Toc141862567 \h</w:instrText>
        </w:r>
        <w:r>
          <w:rPr>
            <w:webHidden/>
          </w:rPr>
          <w:fldChar w:fldCharType="separate"/>
        </w:r>
        <w:r>
          <w:rPr>
            <w:rStyle w:val="Internethivatkozs"/>
          </w:rPr>
          <w:fldChar w:fldCharType="begin"/>
        </w:r>
        <w:r>
          <w:rPr>
            <w:webHidden/>
          </w:rPr>
          <w:fldChar w:fldCharType="end"/>
        </w:r>
        <w:r>
          <w:instrText> PAGEREF _Toc141862567 \h </w:instrText>
        </w:r>
        <w:r>
          <w:fldChar w:fldCharType="separate"/>
        </w:r>
        <w:r>
          <w:t>Hiba: A hivatkozás forrása nem található</w:t>
        </w:r>
        <w:r>
          <w:fldChar w:fldCharType="end"/>
        </w:r>
      </w:hyperlink>
      <w:r>
        <w:fldChar w:fldCharType="end"/>
      </w:r>
    </w:p>
    <w:p>
      <w:pPr>
        <w:pStyle w:val="Normal"/>
        <w:spacing w:before="120" w:after="120"/>
        <w:rPr>
          <w:szCs w:val="24"/>
        </w:rPr>
      </w:pPr>
      <w:r>
        <w:rPr>
          <w:szCs w:val="24"/>
        </w:rPr>
        <w:t>A helyreállítás előtt (aknák, víznyelők, csatornaszakaszok) minden esetben az Önkormányzattal (Polgármesteri Hivatal), mint üzemeltetővel, illetve az érintett közút részét képező műtárgyaknál a közút kezelőjével egyeztetni kell (szintek, szlv, elemek, stb.).</w:t>
      </w:r>
    </w:p>
    <w:p>
      <w:pPr>
        <w:pStyle w:val="Cmsor2"/>
        <w:numPr>
          <w:ilvl w:val="1"/>
          <w:numId w:val="3"/>
        </w:numPr>
        <w:rPr/>
      </w:pPr>
      <w:bookmarkStart w:id="192" w:name="_Toc453756479"/>
      <w:bookmarkEnd w:id="192"/>
      <w:r>
        <w:rPr/>
        <w:t>Bekötővezetékek építése</w:t>
      </w:r>
    </w:p>
    <w:p>
      <w:pPr>
        <w:pStyle w:val="Normal"/>
        <w:spacing w:before="120" w:after="120"/>
        <w:rPr>
          <w:szCs w:val="24"/>
        </w:rPr>
      </w:pPr>
      <w:r>
        <w:rPr>
          <w:szCs w:val="24"/>
        </w:rPr>
        <w:t xml:space="preserve">A házi bekötővezetékeket a telekhatár és az ingatlanhatáron belül megépülő tisztítónyílásig gravitációs bekötővezetékkel kell megvalósítani, a tisztítónyílásnál minimálisan 1,40 m földtakarásnak kell lennie, a beruházás keretében a tisztítónyílást is minden ingatlanon kivitelezni kell. </w:t>
      </w:r>
    </w:p>
    <w:p>
      <w:pPr>
        <w:pStyle w:val="Normal"/>
        <w:spacing w:before="120" w:after="120"/>
        <w:rPr>
          <w:szCs w:val="24"/>
        </w:rPr>
      </w:pPr>
      <w:r>
        <w:rPr>
          <w:szCs w:val="24"/>
        </w:rPr>
        <w:t xml:space="preserve">Minden lakóépítménnyel ellátott ingatlannak meg kell tervezni a belső szennyvízcsatorna hálózatát az épület és a telekhatáron lévő tisztítónyílás (szolgáltatási határ) között, a DMRV Zrt. ME72001_v6 és ME72011_v5 műszaki előírásai szerint. </w:t>
      </w:r>
    </w:p>
    <w:p>
      <w:pPr>
        <w:pStyle w:val="Normal"/>
        <w:spacing w:before="120" w:after="120"/>
        <w:rPr>
          <w:szCs w:val="24"/>
        </w:rPr>
      </w:pPr>
      <w:r>
        <w:rPr>
          <w:szCs w:val="24"/>
        </w:rPr>
        <w:t xml:space="preserve">A bekötővezeték helyét az ingatlan belső adottságainak figyelembe vételével, a tulajdonossal egyeztetetten kell megtervezni. A tulajdonos jóváhagyását a kiviteli tervdokumentációban igazolni kell. </w:t>
      </w:r>
    </w:p>
    <w:p>
      <w:pPr>
        <w:pStyle w:val="Normal"/>
        <w:spacing w:before="120" w:after="120"/>
        <w:rPr>
          <w:szCs w:val="24"/>
        </w:rPr>
      </w:pPr>
      <w:r>
        <w:rPr>
          <w:szCs w:val="24"/>
        </w:rPr>
        <w:t>Abban az esetben, ha az ingatlan lakószintje a tisztítónyílásra gravitációs módon nem tud rácsatlakozni, az üzemeltető műszaki előírásában szereplő elfogadott házi beemelőt kell az ingatlanhoz betervezni (telepítési terv) és a kivitelezés során az ingatlantulajdonosnak átadni. (A házi beemelő telepítése és beüzemelése már nem a kivitelező feladata.)</w:t>
      </w:r>
    </w:p>
    <w:p>
      <w:pPr>
        <w:pStyle w:val="Cmsor1"/>
        <w:numPr>
          <w:ilvl w:val="0"/>
          <w:numId w:val="3"/>
        </w:numPr>
        <w:ind w:left="431" w:hanging="431"/>
        <w:rPr/>
      </w:pPr>
      <w:bookmarkStart w:id="193" w:name="_Toc453756480"/>
      <w:bookmarkStart w:id="194" w:name="_Toc343773526"/>
      <w:bookmarkEnd w:id="193"/>
      <w:bookmarkEnd w:id="194"/>
      <w:r>
        <w:rPr>
          <w:caps w:val="false"/>
          <w:smallCaps w:val="false"/>
        </w:rPr>
        <w:t>Burkolatbontás és helyreállítás</w:t>
      </w:r>
    </w:p>
    <w:p>
      <w:pPr>
        <w:pStyle w:val="Cmsor2"/>
        <w:numPr>
          <w:ilvl w:val="1"/>
          <w:numId w:val="3"/>
        </w:numPr>
        <w:rPr/>
      </w:pPr>
      <w:bookmarkStart w:id="195" w:name="_Toc453756481"/>
      <w:bookmarkStart w:id="196" w:name="_Toc343773527"/>
      <w:bookmarkEnd w:id="195"/>
      <w:bookmarkEnd w:id="196"/>
      <w:r>
        <w:rPr/>
        <w:t>Általános műszaki követelmények</w:t>
      </w:r>
    </w:p>
    <w:p>
      <w:pPr>
        <w:pStyle w:val="Szvegtrzs"/>
        <w:rPr/>
      </w:pPr>
      <w:r>
        <w:rPr/>
        <w:t xml:space="preserve">Jelen beruházás keretében minimális burkolatbontásra kell számolni, mivel az érintett közterületek jelentős része stabilizált felületű. A Damjanich utcai meglévő hálózatra csatlakozásnál ha műszakilag lehetséges el kell kerülni a burkolt úttest megbontását és aknára fúrással kell csatlakozni. </w:t>
      </w:r>
    </w:p>
    <w:p>
      <w:pPr>
        <w:pStyle w:val="Normal"/>
        <w:rPr/>
      </w:pPr>
      <w:r>
        <w:rPr/>
        <w:t>A folyamatos munkavégzés feltétele, hogy legalább egy napi munkavégzésnek megfelelő terület rendelkezésre álljon.</w:t>
      </w:r>
    </w:p>
    <w:p>
      <w:pPr>
        <w:pStyle w:val="Normal"/>
        <w:rPr/>
      </w:pPr>
      <w:r>
        <w:rPr/>
        <w:t>A szükséges gépek felszerelések, szerszámok a helyszínen legyenek biztosítva.</w:t>
      </w:r>
    </w:p>
    <w:p>
      <w:pPr>
        <w:pStyle w:val="Normal"/>
        <w:rPr>
          <w:u w:val="single"/>
        </w:rPr>
      </w:pPr>
      <w:r>
        <w:rPr/>
        <w:t xml:space="preserve">A munkaterület helyét le kell zárni, a munkahelyre való belépést idegenek számára meg kell tiltani. </w:t>
      </w:r>
      <w:r>
        <w:rPr>
          <w:u w:val="single"/>
        </w:rPr>
        <w:t>A burkolat csapadékvíz általi alámosását kiemelt védőgát készítésével meg kell akadályozni.</w:t>
      </w:r>
    </w:p>
    <w:p>
      <w:pPr>
        <w:pStyle w:val="Normal"/>
        <w:rPr/>
      </w:pPr>
      <w:r>
        <w:rPr/>
        <w:t>A munkaterület kezdő és végpontjainak, valamint a becsatlakozó utak lezárásáról, korlátok, valamint jelzőtáblák elhelyezéséről gondoskodni kell.</w:t>
      </w:r>
    </w:p>
    <w:p>
      <w:pPr>
        <w:pStyle w:val="Normal"/>
        <w:rPr/>
      </w:pPr>
      <w:r>
        <w:rPr/>
        <w:t>A bontási, építési munkával egyidejűleg a munkaterületen más munkát végezni nem szabad.</w:t>
      </w:r>
    </w:p>
    <w:p>
      <w:pPr>
        <w:pStyle w:val="Normal"/>
        <w:rPr/>
      </w:pPr>
      <w:r>
        <w:rPr/>
        <w:t>A kibontott anyag deponálását úgy kell levégezni, hogy a halmok a közlekedést ne akadályozzák, és amennyiben azok újbóli felhasználásra kerülnek, ne szennyeződhessenek. A területet a munka befejezése után le kell takarítani és az alkalmazott elkorlátozásokat meg kell szüntetni.</w:t>
      </w:r>
    </w:p>
    <w:p>
      <w:pPr>
        <w:pStyle w:val="Normal"/>
        <w:rPr/>
      </w:pPr>
      <w:r>
        <w:rPr/>
        <w:t xml:space="preserve">Ha a bontás, építés forgalom alatt történt, a korlátozást meg kell hagyni és külön figyelmeztető táblákat és jelzőlámpát kell elhelyezni. Az elkorlátozásokat mindaddig fenn kell tartani amíg a burkolat helyreállítása meg nem történt. Sötétben, vagy rossz látási viszonyok közt végzett munkáknál gondoskodni kell a munkaterület megvilágításáról. </w:t>
      </w:r>
    </w:p>
    <w:p>
      <w:pPr>
        <w:pStyle w:val="Cmsor2"/>
        <w:numPr>
          <w:ilvl w:val="1"/>
          <w:numId w:val="3"/>
        </w:numPr>
        <w:rPr/>
      </w:pPr>
      <w:bookmarkStart w:id="197" w:name="_Toc453756482"/>
      <w:bookmarkStart w:id="198" w:name="_Toc343773528"/>
      <w:bookmarkEnd w:id="197"/>
      <w:bookmarkEnd w:id="198"/>
      <w:r>
        <w:rPr/>
        <w:t>Burkolatok, burkolatalapok bontása</w:t>
      </w:r>
    </w:p>
    <w:p>
      <w:pPr>
        <w:pStyle w:val="Szvegtrzs"/>
        <w:numPr>
          <w:ilvl w:val="0"/>
          <w:numId w:val="34"/>
        </w:numPr>
        <w:spacing w:before="0" w:after="0"/>
        <w:ind w:left="714" w:hanging="357"/>
        <w:rPr>
          <w:rFonts w:eastAsia="Times New Roman"/>
          <w:szCs w:val="24"/>
        </w:rPr>
      </w:pPr>
      <w:r>
        <w:rPr>
          <w:rFonts w:eastAsia="Times New Roman"/>
          <w:szCs w:val="24"/>
        </w:rPr>
        <w:t>A bontást úgy kell elvégezni, hogy a megmaradó burkolatrész ne károsodjon, valamint a rétegenként végzett bontás esetén a burkolatalap ne sérüljön.</w:t>
      </w:r>
    </w:p>
    <w:p>
      <w:pPr>
        <w:pStyle w:val="Szvegtrzs"/>
        <w:numPr>
          <w:ilvl w:val="0"/>
          <w:numId w:val="34"/>
        </w:numPr>
        <w:spacing w:before="0" w:after="0"/>
        <w:ind w:left="714" w:hanging="357"/>
        <w:rPr>
          <w:rFonts w:eastAsia="Times New Roman"/>
          <w:szCs w:val="24"/>
        </w:rPr>
      </w:pPr>
      <w:r>
        <w:rPr>
          <w:rFonts w:eastAsia="Times New Roman"/>
          <w:szCs w:val="24"/>
        </w:rPr>
        <w:t>A megmaradó burkolat széleit egyenesre kell vágni, úgy hogy a vágott felület sík, vagy közel sík és függőleges legyen.</w:t>
      </w:r>
    </w:p>
    <w:p>
      <w:pPr>
        <w:pStyle w:val="Szvegtrzs"/>
        <w:numPr>
          <w:ilvl w:val="0"/>
          <w:numId w:val="34"/>
        </w:numPr>
        <w:spacing w:before="0" w:after="0"/>
        <w:ind w:left="714" w:hanging="357"/>
        <w:rPr>
          <w:rFonts w:eastAsia="Times New Roman"/>
          <w:szCs w:val="24"/>
        </w:rPr>
      </w:pPr>
      <w:r>
        <w:rPr>
          <w:rFonts w:eastAsia="Times New Roman"/>
          <w:szCs w:val="24"/>
        </w:rPr>
        <w:t>A felbontott területet le kell takarítani, a területen törmelék, szemét nem maradhat.</w:t>
      </w:r>
    </w:p>
    <w:p>
      <w:pPr>
        <w:pStyle w:val="Cmsor2"/>
        <w:numPr>
          <w:ilvl w:val="1"/>
          <w:numId w:val="3"/>
        </w:numPr>
        <w:rPr/>
      </w:pPr>
      <w:bookmarkStart w:id="199" w:name="_Toc453756483"/>
      <w:bookmarkStart w:id="200" w:name="_Toc343773532"/>
      <w:bookmarkEnd w:id="199"/>
      <w:bookmarkEnd w:id="200"/>
      <w:r>
        <w:rPr/>
        <w:t>Betonburkolat építése keskeny sávban</w:t>
      </w:r>
    </w:p>
    <w:p>
      <w:pPr>
        <w:pStyle w:val="Normal"/>
        <w:rPr/>
      </w:pPr>
      <w:r>
        <w:rPr/>
        <w:t>A munkaároknál mindkét irányba legalább 0,5 m-el nagyobb (átlapolt) útalapot kell készíteni. A tükörnek megfelelően tömörítettnek és nedvesnek, a felületnek egyenletesnek kell lennie. Ha útszegély nem került beépítésre, akkor a formasínek vagy oldalsó támasztópallók mindkét oldalon kiemelve, megfelelően rögzítve legyenek előkészítve. A hézagvasak leolajozva, a kijelölt helyen álljanak rendelkezésre.</w:t>
      </w:r>
    </w:p>
    <w:p>
      <w:pPr>
        <w:pStyle w:val="Normal"/>
        <w:rPr/>
      </w:pPr>
      <w:r>
        <w:rPr/>
        <w:t>A betonanyag kiszállítását úgy kell megszervezni, hogy a betonkeverék bedolgozása a keveréstől számított 40 percen belül megkezdődjön. Az építési szakasz kezdő- és végpontjainak kijelöléséről, valamint a becsatlakozó utak lezárásáról) korlátok jelzőtáblák, valamint jelzőlámpák elhelyezésével gondoskodni kell.</w:t>
      </w:r>
    </w:p>
    <w:p>
      <w:pPr>
        <w:pStyle w:val="Normal"/>
        <w:rPr/>
      </w:pPr>
      <w:r>
        <w:rPr/>
        <w:t>Az ágyazatot a szükségnek megfelelően ki kell igazítani. A burkolat elkészülte után a széleket le kell kerekíteni és a formasínek, vagy támasztópallók elbontása után a hibákat ki kell javítani. Ha a tágulási hézagok nem utólagos vágással készülnek, akkor a kijelölt helyekre a tágulási hézagszerkezeteket pontosan el kell helyezni. A burkolat elkészülte után a hézagszerkezeteket ki kell emelni úgy, hogy a burkolat felülete ne sérüljön meg. A kihúzás után a hézagokat el kell dolgozni.</w:t>
      </w:r>
    </w:p>
    <w:p>
      <w:pPr>
        <w:pStyle w:val="Normal"/>
        <w:rPr/>
      </w:pPr>
      <w:r>
        <w:rPr/>
        <w:t>A védőanyagos utókezelésnél a védőanyagot (200-250 g/m</w:t>
      </w:r>
      <w:r>
        <w:rPr>
          <w:vertAlign w:val="superscript"/>
        </w:rPr>
        <w:t>2</w:t>
      </w:r>
      <w:r>
        <w:rPr/>
        <w:t xml:space="preserve"> egyenletesen kell a felületre felhordani, 2-3 órával a betonfelület homályossá válása után, a permetező készülék használatával. </w:t>
      </w:r>
    </w:p>
    <w:p>
      <w:pPr>
        <w:pStyle w:val="Normal"/>
        <w:rPr/>
      </w:pPr>
      <w:r>
        <w:rPr/>
        <w:t>Amennyiben a betonburkolat építési munka végzése 1,5 óránál tovább szünetel, valamint a műszak befejezésekor munkahézagot kell képezni. A munkahézagokon a teherátadást acélbetétekkel, vagy párnabetonnal kell biztosítani.</w:t>
      </w:r>
    </w:p>
    <w:p>
      <w:pPr>
        <w:pStyle w:val="Szvegtrzs"/>
        <w:numPr>
          <w:ilvl w:val="0"/>
          <w:numId w:val="35"/>
        </w:numPr>
        <w:spacing w:before="0" w:after="0"/>
        <w:ind w:left="714" w:hanging="357"/>
        <w:rPr>
          <w:rFonts w:eastAsia="Times New Roman"/>
          <w:szCs w:val="24"/>
        </w:rPr>
      </w:pPr>
      <w:r>
        <w:rPr>
          <w:rFonts w:eastAsia="Times New Roman"/>
          <w:szCs w:val="24"/>
        </w:rPr>
        <w:t>A betonkeverék minősége feleljen meg a tervben és a vonatkozó szabványban előírt követelményeknek.</w:t>
      </w:r>
    </w:p>
    <w:p>
      <w:pPr>
        <w:pStyle w:val="Szvegtrzs"/>
        <w:numPr>
          <w:ilvl w:val="0"/>
          <w:numId w:val="35"/>
        </w:numPr>
        <w:spacing w:before="0" w:after="0"/>
        <w:ind w:left="714" w:hanging="357"/>
        <w:rPr>
          <w:rFonts w:eastAsia="Times New Roman"/>
          <w:szCs w:val="24"/>
        </w:rPr>
      </w:pPr>
      <w:r>
        <w:rPr>
          <w:rFonts w:eastAsia="Times New Roman"/>
          <w:szCs w:val="24"/>
        </w:rPr>
        <w:t>A burkolat keresztirányú hézagainál 3 mm-nél nagyobb mértékű szintkülönbség (lépcső) nem lehet.</w:t>
      </w:r>
    </w:p>
    <w:p>
      <w:pPr>
        <w:pStyle w:val="Szvegtrzs"/>
        <w:numPr>
          <w:ilvl w:val="0"/>
          <w:numId w:val="35"/>
        </w:numPr>
        <w:spacing w:before="0" w:after="0"/>
        <w:ind w:left="714" w:hanging="357"/>
        <w:rPr>
          <w:rFonts w:eastAsia="Times New Roman"/>
          <w:szCs w:val="24"/>
        </w:rPr>
      </w:pPr>
      <w:r>
        <w:rPr>
          <w:rFonts w:eastAsia="Times New Roman"/>
          <w:szCs w:val="24"/>
        </w:rPr>
        <w:t>Valamennyi hézag kialakítása terv szerinti helyen és kivitelben történjen.</w:t>
      </w:r>
    </w:p>
    <w:p>
      <w:pPr>
        <w:pStyle w:val="Szvegtrzs"/>
        <w:numPr>
          <w:ilvl w:val="0"/>
          <w:numId w:val="35"/>
        </w:numPr>
        <w:spacing w:before="0" w:after="0"/>
        <w:ind w:left="714" w:hanging="357"/>
        <w:rPr>
          <w:rFonts w:eastAsia="Times New Roman"/>
          <w:szCs w:val="24"/>
        </w:rPr>
      </w:pPr>
      <w:r>
        <w:rPr>
          <w:rFonts w:eastAsia="Times New Roman"/>
          <w:szCs w:val="24"/>
        </w:rPr>
        <w:t>Meglevő szerkezethez, régi útburkolathoz történő csatlakozásnál szinteltérés nem lehet.</w:t>
      </w:r>
    </w:p>
    <w:p>
      <w:pPr>
        <w:pStyle w:val="Szvegtrzs"/>
        <w:numPr>
          <w:ilvl w:val="0"/>
          <w:numId w:val="35"/>
        </w:numPr>
        <w:spacing w:before="0" w:after="0"/>
        <w:ind w:left="714" w:hanging="357"/>
        <w:rPr>
          <w:rFonts w:eastAsia="Times New Roman"/>
          <w:szCs w:val="24"/>
        </w:rPr>
      </w:pPr>
      <w:r>
        <w:rPr>
          <w:rFonts w:eastAsia="Times New Roman"/>
          <w:szCs w:val="24"/>
        </w:rPr>
        <w:t>Bedolgozás közben a betonkeveréket locsolni tilos.</w:t>
      </w:r>
    </w:p>
    <w:p>
      <w:pPr>
        <w:pStyle w:val="Szvegtrzs"/>
        <w:numPr>
          <w:ilvl w:val="0"/>
          <w:numId w:val="35"/>
        </w:numPr>
        <w:spacing w:before="0" w:after="0"/>
        <w:ind w:left="714" w:hanging="357"/>
        <w:rPr>
          <w:rFonts w:eastAsia="Times New Roman"/>
          <w:szCs w:val="24"/>
        </w:rPr>
      </w:pPr>
      <w:r>
        <w:rPr>
          <w:rFonts w:eastAsia="Times New Roman"/>
          <w:szCs w:val="24"/>
        </w:rPr>
        <w:t>Szegélyek között készült betonburkolatnak közvetlenül érintkeznie kell a szegéllyel, illetve a szegélyalappal.</w:t>
      </w:r>
    </w:p>
    <w:p>
      <w:pPr>
        <w:pStyle w:val="Szvegtrzs"/>
        <w:numPr>
          <w:ilvl w:val="0"/>
          <w:numId w:val="35"/>
        </w:numPr>
        <w:rPr>
          <w:b/>
          <w:b/>
        </w:rPr>
      </w:pPr>
      <w:bookmarkStart w:id="201" w:name="_Toc343773537"/>
      <w:bookmarkEnd w:id="201"/>
      <w:r>
        <w:rPr>
          <w:rFonts w:eastAsia="Times New Roman"/>
          <w:szCs w:val="24"/>
        </w:rPr>
        <w:t>Megengedett hullámok nagysága 4,0 m-es léccel mérve 4 mm-nél nagyobb nem lehet</w:t>
      </w:r>
    </w:p>
    <w:p>
      <w:pPr>
        <w:pStyle w:val="Cmsor2"/>
        <w:numPr>
          <w:ilvl w:val="1"/>
          <w:numId w:val="3"/>
        </w:numPr>
        <w:rPr/>
      </w:pPr>
      <w:bookmarkStart w:id="202" w:name="_Toc453756484"/>
      <w:bookmarkStart w:id="203" w:name="_Toc3437735371"/>
      <w:bookmarkEnd w:id="202"/>
      <w:bookmarkEnd w:id="203"/>
      <w:r>
        <w:rPr/>
        <w:t>Hengerelt aszfaltburkolat készítése</w:t>
      </w:r>
    </w:p>
    <w:p>
      <w:pPr>
        <w:pStyle w:val="Normal"/>
        <w:rPr/>
      </w:pPr>
      <w:r>
        <w:rPr/>
        <w:t>A fektetendő burkolat alapjának a tervekben előírt minőségben, méretben és profilkialakítással készen kell lennie. A burkolatalapon kátyúk, repedések vagy hullámosodások nem lehetnek, illetve az ilyen jellegű hibákat a burkolatépítés megkezdése előtt meg kell szüntetni.</w:t>
      </w:r>
    </w:p>
    <w:p>
      <w:pPr>
        <w:pStyle w:val="Normal"/>
        <w:rPr/>
      </w:pPr>
      <w:r>
        <w:rPr/>
        <w:t>Az alap nem lehet nedves vagy szennyezett. Az új pálya magassági és irányadataira vonatkozó kitűzési pontok kibiztosítottan rendelkezésre álljanak, és azok a dolgozók előtt ismertek legyenek.</w:t>
      </w:r>
    </w:p>
    <w:p>
      <w:pPr>
        <w:pStyle w:val="Normal"/>
        <w:rPr/>
      </w:pPr>
      <w:r>
        <w:rPr/>
        <w:t>Félszélességű beépítés esetén fél szélességben a munkaterületet a forgalom elől a KRESZ előírásainak megfelelően le kell zárni. A szabadon hagyott, munkába nem vett másik félszélességben a forgalmat az előírásoknak megfelelően nappal színes tárcsával, vagy forgalomirányító lámpákkal, sötétben vagy rossz látási viszonyok között fényjelzéssel vagy forgalomirányító lámpák alkalmazásával irányítani kell.</w:t>
      </w:r>
    </w:p>
    <w:p>
      <w:pPr>
        <w:pStyle w:val="Normal"/>
        <w:rPr/>
      </w:pPr>
      <w:r>
        <w:rPr/>
        <w:t xml:space="preserve">A burkolatépítés megkezdése előtt a kötőanyag permetezésre - amennyiben a terv ezt előírja - legyen készen. </w:t>
      </w:r>
    </w:p>
    <w:p>
      <w:pPr>
        <w:pStyle w:val="Normal"/>
        <w:rPr/>
      </w:pPr>
      <w:r>
        <w:rPr/>
        <w:t xml:space="preserve">A meleganyag szállítását úgy kell megszervezni, hogy a bedolgozás folyamatosan, leállás nélkül történjen. Csak annyi anyagot szabad a munkaterületre kiszállítani, amennyit a rendelkezésre álló munkaidő alatt a dolgozók be tudnak dolgozni. A kiszállított meleganyagot viszont teljes mennyiségben be kell dolgozni. </w:t>
      </w:r>
    </w:p>
    <w:p>
      <w:pPr>
        <w:pStyle w:val="Normal"/>
        <w:rPr/>
      </w:pPr>
      <w:r>
        <w:rPr/>
        <w:t xml:space="preserve">A készülő és a kész burkolaton üzemanyagfelvétel, az eszközök imprimolos kezelése nem végezhető, mivel ezek az anyagok az aszfaltréteget károsítják. </w:t>
      </w:r>
    </w:p>
    <w:p>
      <w:pPr>
        <w:pStyle w:val="Normal"/>
        <w:rPr/>
      </w:pPr>
      <w:r>
        <w:rPr/>
        <w:t>A burkolatból kiálló szegélyek, szerelvények, műtárgyak állapotára bedolgozás közben ügyelni kell. A régebben fektetett aszfaltburkolat csatlakozó részeit megfelelően függőlegesre kell vágni.</w:t>
      </w:r>
    </w:p>
    <w:p>
      <w:pPr>
        <w:pStyle w:val="Normal"/>
        <w:rPr/>
      </w:pPr>
      <w:r>
        <w:rPr/>
        <w:t>A keletkezett törmeléket le kell takarítani, a levágott szélekre a helyszínen biztosított (melegített) kötőanyagot nyeles kenőkefével fel kell hordani. A szegélyeket és műtárgyak aszfalttal érintkező felületét meleg kötőanyaggal történő bekenésével az előzőekben leírt módon elő kell készíteni.</w:t>
      </w:r>
    </w:p>
    <w:p>
      <w:pPr>
        <w:pStyle w:val="Cmsor1"/>
        <w:numPr>
          <w:ilvl w:val="0"/>
          <w:numId w:val="3"/>
        </w:numPr>
        <w:ind w:left="431" w:hanging="431"/>
        <w:rPr/>
      </w:pPr>
      <w:bookmarkStart w:id="204" w:name="_Toc453756485"/>
      <w:bookmarkStart w:id="205" w:name="_Toc343773543"/>
      <w:bookmarkEnd w:id="204"/>
      <w:bookmarkEnd w:id="205"/>
      <w:r>
        <w:rPr>
          <w:caps w:val="false"/>
          <w:smallCaps w:val="false"/>
        </w:rPr>
        <w:t>Növényesítés, talajvédelem</w:t>
      </w:r>
    </w:p>
    <w:p>
      <w:pPr>
        <w:pStyle w:val="Szvegtrzs"/>
        <w:rPr>
          <w:rFonts w:eastAsia="Times New Roman"/>
          <w:szCs w:val="24"/>
        </w:rPr>
      </w:pPr>
      <w:r>
        <w:rPr>
          <w:rFonts w:eastAsia="Times New Roman"/>
          <w:szCs w:val="24"/>
        </w:rPr>
        <w:t>A létesítmények területén meglévő és megmaradó növényzetet, azok gyökérzetét meg kell védeni az építkezés okozta károsodástól a kivitelezés teljes ideje alatt (DIN 18920 Meglévő fák, növények és vegetáció védelme az építési munkák folyamán).</w:t>
      </w:r>
    </w:p>
    <w:p>
      <w:pPr>
        <w:pStyle w:val="Szvegtrzs"/>
        <w:rPr>
          <w:rFonts w:eastAsia="Times New Roman"/>
          <w:szCs w:val="24"/>
        </w:rPr>
      </w:pPr>
      <w:r>
        <w:rPr>
          <w:rFonts w:eastAsia="Times New Roman"/>
          <w:szCs w:val="24"/>
        </w:rPr>
        <w:t>A létesítményeket úgy kell megtervezni és megépíteni, hogy a vonatkozó engedélyekben előírt feltételeknek megfeleljenek, a szükséges növényborítási jellemzőkkel rendelkezzenek.</w:t>
      </w:r>
    </w:p>
    <w:p>
      <w:pPr>
        <w:pStyle w:val="Szvegtrzs"/>
        <w:rPr>
          <w:rFonts w:eastAsia="Times New Roman"/>
          <w:szCs w:val="24"/>
        </w:rPr>
      </w:pPr>
      <w:r>
        <w:rPr>
          <w:rFonts w:eastAsia="Times New Roman"/>
          <w:szCs w:val="24"/>
        </w:rPr>
        <w:t xml:space="preserve">A munkaterület mindazon felületeit, amelyekre a fent említett hatósági engedélyek vonatkozó előírást nem tartalmaznak, a közút kezelőjével egyeztetett, a tájhoz illeszkedő növényesítési, munkákat el kell végezni. </w:t>
      </w:r>
    </w:p>
    <w:p>
      <w:pPr>
        <w:pStyle w:val="Szvegtrzs"/>
        <w:rPr>
          <w:rFonts w:eastAsia="Times New Roman"/>
          <w:szCs w:val="24"/>
        </w:rPr>
      </w:pPr>
      <w:r>
        <w:rPr>
          <w:rFonts w:eastAsia="Times New Roman"/>
          <w:szCs w:val="24"/>
        </w:rPr>
        <w:t xml:space="preserve">A károsodott zöldfelületeken az építési munkák befejezése után a Vállalkozónak a terepet az eredeti, illetve a kertépítészeti terv szerinti állapotba kell hoznia és az abban előírt munkákat el kell végeznie. </w:t>
      </w:r>
    </w:p>
    <w:p>
      <w:pPr>
        <w:pStyle w:val="Cmsor3"/>
        <w:numPr>
          <w:ilvl w:val="2"/>
          <w:numId w:val="3"/>
        </w:numPr>
        <w:rPr/>
      </w:pPr>
      <w:bookmarkStart w:id="206" w:name="_Toc453756486"/>
      <w:bookmarkEnd w:id="206"/>
      <w:r>
        <w:rPr/>
        <w:t>Talajvédelem</w:t>
      </w:r>
    </w:p>
    <w:p>
      <w:pPr>
        <w:pStyle w:val="Szvegtrzs"/>
        <w:numPr>
          <w:ilvl w:val="0"/>
          <w:numId w:val="33"/>
        </w:numPr>
        <w:spacing w:before="0" w:after="0"/>
        <w:ind w:left="714" w:hanging="357"/>
        <w:rPr>
          <w:rFonts w:eastAsia="Times New Roman"/>
          <w:szCs w:val="24"/>
        </w:rPr>
      </w:pPr>
      <w:r>
        <w:rPr>
          <w:rFonts w:eastAsia="Times New Roman"/>
          <w:szCs w:val="24"/>
        </w:rPr>
        <w:t xml:space="preserve">A leszedett humuszos termőréteget – ha a terv ettől eltérően nem rendelkezik - minimum 0,30 m vastagságban kell visszateríteni. </w:t>
      </w:r>
    </w:p>
    <w:p>
      <w:pPr>
        <w:pStyle w:val="Szvegtrzs"/>
        <w:numPr>
          <w:ilvl w:val="0"/>
          <w:numId w:val="33"/>
        </w:numPr>
        <w:spacing w:before="0" w:after="0"/>
        <w:ind w:left="714" w:hanging="357"/>
        <w:rPr>
          <w:rFonts w:eastAsia="Times New Roman"/>
          <w:szCs w:val="24"/>
        </w:rPr>
      </w:pPr>
      <w:r>
        <w:rPr>
          <w:rFonts w:eastAsia="Times New Roman"/>
          <w:szCs w:val="24"/>
        </w:rPr>
        <w:t>Ahol a kitermelt termőtalaj nem tölthető vissza, ott pótolni kell és a nem megfelelő anyagot és azt el kell szállítani és az előírások szerint kell elhelyezni.</w:t>
      </w:r>
    </w:p>
    <w:p>
      <w:pPr>
        <w:pStyle w:val="Szvegtrzs"/>
        <w:numPr>
          <w:ilvl w:val="0"/>
          <w:numId w:val="33"/>
        </w:numPr>
        <w:spacing w:before="0" w:after="0"/>
        <w:ind w:left="714" w:hanging="357"/>
        <w:rPr>
          <w:rFonts w:eastAsia="Times New Roman"/>
          <w:szCs w:val="24"/>
        </w:rPr>
      </w:pPr>
      <w:r>
        <w:rPr>
          <w:rFonts w:eastAsia="Times New Roman"/>
          <w:szCs w:val="24"/>
        </w:rPr>
        <w:t>A termőföld tényleges igénybevételének időpontjáig a művelési ágnak megfelelő hasznosításról gondoskodni kell.</w:t>
      </w:r>
    </w:p>
    <w:p>
      <w:pPr>
        <w:pStyle w:val="Szvegtrzs"/>
        <w:numPr>
          <w:ilvl w:val="0"/>
          <w:numId w:val="33"/>
        </w:numPr>
        <w:spacing w:before="0" w:after="0"/>
        <w:ind w:left="714" w:hanging="357"/>
        <w:rPr>
          <w:rFonts w:eastAsia="Times New Roman"/>
          <w:szCs w:val="24"/>
        </w:rPr>
      </w:pPr>
      <w:r>
        <w:rPr>
          <w:rFonts w:eastAsia="Times New Roman"/>
          <w:szCs w:val="24"/>
        </w:rPr>
        <w:t>A humuszmentési munkákat olyan időszakra kell ütemezni, amikor a talajok víztartalma optimális (nem túl nedves és nem túl száraz).</w:t>
      </w:r>
    </w:p>
    <w:p>
      <w:pPr>
        <w:pStyle w:val="Szvegtrzs"/>
        <w:numPr>
          <w:ilvl w:val="0"/>
          <w:numId w:val="33"/>
        </w:numPr>
        <w:spacing w:before="0" w:after="0"/>
        <w:ind w:left="714" w:hanging="357"/>
        <w:rPr>
          <w:rFonts w:eastAsia="Times New Roman"/>
          <w:szCs w:val="24"/>
        </w:rPr>
      </w:pPr>
      <w:r>
        <w:rPr>
          <w:rFonts w:eastAsia="Times New Roman"/>
          <w:szCs w:val="24"/>
        </w:rPr>
        <w:t>A szomszédos mezőgazdasági művelési területek igénybevételére (taposás, deponálás) időleges jelleggel sem kerülhet sor.</w:t>
      </w:r>
    </w:p>
    <w:p>
      <w:pPr>
        <w:pStyle w:val="Szvegtrzs"/>
        <w:numPr>
          <w:ilvl w:val="0"/>
          <w:numId w:val="33"/>
        </w:numPr>
        <w:spacing w:before="0" w:after="0"/>
        <w:ind w:left="714" w:hanging="357"/>
        <w:rPr>
          <w:rFonts w:eastAsia="Times New Roman"/>
          <w:szCs w:val="24"/>
        </w:rPr>
      </w:pPr>
      <w:r>
        <w:rPr>
          <w:rFonts w:eastAsia="Times New Roman"/>
          <w:szCs w:val="24"/>
        </w:rPr>
        <w:t>A földmunkákat úgy kell végezni, hogy az eltávolított humuszos termőréteg és az altalaj elkülönítetten kerüljön tárolásra, azok ne keveredjenek.</w:t>
      </w:r>
    </w:p>
    <w:p>
      <w:pPr>
        <w:pStyle w:val="Szvegtrzs"/>
        <w:numPr>
          <w:ilvl w:val="0"/>
          <w:numId w:val="33"/>
        </w:numPr>
        <w:spacing w:before="0" w:after="0"/>
        <w:ind w:left="714" w:hanging="357"/>
        <w:rPr>
          <w:rFonts w:eastAsia="Times New Roman"/>
          <w:szCs w:val="24"/>
        </w:rPr>
      </w:pPr>
      <w:r>
        <w:rPr>
          <w:rFonts w:eastAsia="Times New Roman"/>
          <w:szCs w:val="24"/>
        </w:rPr>
        <w:t>A termőréteg kedvező tulajdonságainak megtartására (humusztartalom, rétegezettség, talajszerkezet stb.) az eredeti talajrétegződés helyreállítás során (a termőföldnek minősülő területeken) a lehetőségekhez mérten gondoskodni kell.</w:t>
      </w:r>
    </w:p>
    <w:p>
      <w:pPr>
        <w:pStyle w:val="Szvegtrzs"/>
        <w:numPr>
          <w:ilvl w:val="0"/>
          <w:numId w:val="33"/>
        </w:numPr>
        <w:spacing w:before="0" w:after="0"/>
        <w:ind w:left="714" w:hanging="357"/>
        <w:rPr>
          <w:rFonts w:eastAsia="Times New Roman"/>
          <w:szCs w:val="24"/>
        </w:rPr>
      </w:pPr>
      <w:r>
        <w:rPr>
          <w:rFonts w:eastAsia="Times New Roman"/>
          <w:szCs w:val="24"/>
        </w:rPr>
        <w:t>Az igénybevételre kerülő termőföldek időleges más célú hasznosítását a külön eljárás keretében (földügyi) engedélyezett termőföld újrahasznosítási tervet kell készíteni.</w:t>
      </w:r>
    </w:p>
    <w:p>
      <w:pPr>
        <w:pStyle w:val="Cmsor1"/>
        <w:numPr>
          <w:ilvl w:val="0"/>
          <w:numId w:val="3"/>
        </w:numPr>
        <w:ind w:left="431" w:hanging="431"/>
        <w:rPr/>
      </w:pPr>
      <w:bookmarkStart w:id="207" w:name="_Toc453756487"/>
      <w:bookmarkEnd w:id="207"/>
      <w:r>
        <w:rPr/>
        <w:t>A Megrendelő követelményei dokumentáció mellékletei</w:t>
      </w:r>
    </w:p>
    <w:p>
      <w:pPr>
        <w:pStyle w:val="Szvegtrzs"/>
        <w:rPr/>
      </w:pPr>
      <w:r>
        <w:rPr/>
        <w:t xml:space="preserve">Jelen dokumentáció elválaszthatatlan mellékeltét képezik az eddig tervezés és engedélyezés dokumentumai az alábbiak szerint: </w:t>
      </w:r>
    </w:p>
    <w:p>
      <w:pPr>
        <w:pStyle w:val="Normal"/>
        <w:numPr>
          <w:ilvl w:val="0"/>
          <w:numId w:val="38"/>
        </w:numPr>
        <w:rPr/>
      </w:pPr>
      <w:r>
        <w:rPr/>
        <w:t>HIDROKULTÚRA Víz- és Környezetgazdálkodási Kft. által készített 02-2/2006 tervszámú, 2015. 03 hó dátumú Gödöllő Marikatelep és Antal-hegy szennyvízcsatornázása aktualizált vízjogi létesítési engedélyezési tervdokumentáció 3.2, 3.3, 4.3, 4.4.1, 4.4.2,  4.5, 4.6, 5.2, 7.1, 7.2, 7.3 rajzai és műszaki leírása, valamint közmű egyeztetési dokumentumok.</w:t>
      </w:r>
    </w:p>
    <w:p>
      <w:pPr>
        <w:pStyle w:val="Normal"/>
        <w:numPr>
          <w:ilvl w:val="0"/>
          <w:numId w:val="38"/>
        </w:numPr>
        <w:rPr/>
      </w:pPr>
      <w:r>
        <w:rPr/>
        <w:t>A közmű üzemeltető DMRV Zrt. DMRV/10273-2/2015/SZO és DMRV/10273-3/2015/SZO közmű nyilatkozatai, valamint ME 72001_v6 és ME 72011_v5 műszaki előírásai.</w:t>
      </w:r>
    </w:p>
    <w:p>
      <w:pPr>
        <w:pStyle w:val="Normal"/>
        <w:numPr>
          <w:ilvl w:val="0"/>
          <w:numId w:val="38"/>
        </w:numPr>
        <w:rPr/>
      </w:pPr>
      <w:r>
        <w:rPr/>
        <w:t>Fővárosi Katasztrófavédelmi Igazgatóság Igazgató-helyettesi Szervezet, Katasztrófavédelmi Hatósági Osztály által kiadott módosított FKI-KHO 1477-20/2015. számú vízjogi létesítési engedély és KTVF 19118-7/2007., KTVF 1790-1/2010., KTVF 3270-15-2012. korábbi engedélyek és módosítások.</w:t>
      </w:r>
    </w:p>
    <w:sectPr>
      <w:headerReference w:type="default" r:id="rId6"/>
      <w:footerReference w:type="default" r:id="rId7"/>
      <w:footerReference w:type="first" r:id="rId8"/>
      <w:type w:val="nextPage"/>
      <w:pgSz w:w="11906" w:h="16838"/>
      <w:pgMar w:left="1247" w:right="1247" w:header="709" w:top="1134" w:footer="403" w:bottom="992"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imes New Roman félkövér">
    <w:charset w:val="ee"/>
    <w:family w:val="roman"/>
    <w:pitch w:val="variable"/>
  </w:font>
  <w:font w:name="Times New Roman">
    <w:charset w:val="ee"/>
    <w:family w:val="swiss"/>
    <w:pitch w:val="variable"/>
  </w:font>
  <w:font w:name="Calibri">
    <w:charset w:val="ee"/>
    <w:family w:val="roman"/>
    <w:pitch w:val="variable"/>
  </w:font>
  <w:font w:name="Calibri Light">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OpenSymbol">
    <w:altName w:val="Arial Unicode MS"/>
    <w:charset w:val="ee"/>
    <w:family w:val="roman"/>
    <w:pitch w:val="variable"/>
  </w:font>
  <w:font w:name="Arial">
    <w:charset w:val="ee"/>
    <w:family w:val="roman"/>
    <w:pitch w:val="variable"/>
  </w:font>
  <w:font w:name="UniversalMath1 BT">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jc w:val="center"/>
      <w:rPr/>
    </w:pPr>
    <w:r>
      <w:rPr/>
      <w:fldChar w:fldCharType="begin"/>
    </w:r>
    <w:r>
      <w:instrText> PAGE </w:instrText>
    </w:r>
    <w:r>
      <w:fldChar w:fldCharType="separate"/>
    </w:r>
    <w:r>
      <w:t>0</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jc w:val="center"/>
      <w:rPr/>
    </w:pPr>
    <w:r>
      <w:rPr/>
      <w:fldChar w:fldCharType="begin"/>
    </w:r>
    <w:r>
      <w:instrText> PAGE </w:instrText>
    </w:r>
    <w:r>
      <w:fldChar w:fldCharType="separate"/>
    </w:r>
    <w:r>
      <w:t>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pBdr>
        <w:bottom w:val="double" w:sz="4" w:space="2" w:color="000001"/>
      </w:pBdr>
      <w:spacing w:lineRule="auto" w:line="360"/>
      <w:jc w:val="center"/>
      <w:rPr/>
    </w:pPr>
    <w:r>
      <w:rPr>
        <w:b/>
        <w:smallCaps/>
        <w:spacing w:val="40"/>
        <w:sz w:val="20"/>
      </w:rPr>
      <w:t>Gödöllő, Antalhegy szennyvízcsatornázás II. ütem</w:t>
    </w:r>
  </w:p>
  <w:p>
    <w:pPr>
      <w:pStyle w:val="Lfej"/>
      <w:pBdr>
        <w:bottom w:val="double" w:sz="4" w:space="2" w:color="000001"/>
      </w:pBdr>
      <w:spacing w:lineRule="auto" w:line="360"/>
      <w:jc w:val="center"/>
      <w:rPr/>
    </w:pPr>
    <w:r>
      <w:rPr>
        <w:b/>
        <w:smallCaps/>
        <w:spacing w:val="40"/>
        <w:sz w:val="20"/>
      </w:rPr>
      <w:t>műszaki dokumentáció</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432" w:hanging="432"/>
      </w:pPr>
    </w:lvl>
    <w:lvl w:ilvl="1">
      <w:start w:val="1"/>
      <w:pStyle w:val="Cmsor2"/>
      <w:numFmt w:val="decimal"/>
      <w:lvlText w:val="%1.%2"/>
      <w:lvlJc w:val="left"/>
      <w:pPr>
        <w:ind w:left="576" w:hanging="576"/>
      </w:pPr>
    </w:lvl>
    <w:lvl w:ilvl="2">
      <w:start w:val="1"/>
      <w:pStyle w:val="Cmsor3"/>
      <w:numFmt w:val="decimal"/>
      <w:lvlText w:val="%1.%2.%3"/>
      <w:lvlJc w:val="left"/>
      <w:pPr>
        <w:ind w:left="720" w:hanging="720"/>
      </w:pPr>
    </w:lvl>
    <w:lvl w:ilvl="3">
      <w:start w:val="1"/>
      <w:pStyle w:val="Cmsor4"/>
      <w:numFmt w:val="decimal"/>
      <w:lvlText w:val="%1.%2.%3.%4"/>
      <w:lvlJc w:val="left"/>
      <w:pPr>
        <w:ind w:left="864" w:hanging="864"/>
      </w:pPr>
    </w:lvl>
    <w:lvl w:ilvl="4">
      <w:start w:val="1"/>
      <w:pStyle w:val="Cmsor5"/>
      <w:numFmt w:val="decimal"/>
      <w:lvlText w:val="%1.%2.%3.%4.%5"/>
      <w:lvlJc w:val="left"/>
      <w:pPr>
        <w:ind w:left="1008" w:hanging="1008"/>
      </w:pPr>
    </w:lvl>
    <w:lvl w:ilvl="5">
      <w:start w:val="1"/>
      <w:pStyle w:val="Cmsor6"/>
      <w:numFmt w:val="decimal"/>
      <w:lvlText w:val="%1.%2.%3.%4.%5.%6"/>
      <w:lvlJc w:val="left"/>
      <w:pPr>
        <w:ind w:left="1152" w:hanging="1152"/>
      </w:pPr>
    </w:lvl>
    <w:lvl w:ilvl="6">
      <w:start w:val="1"/>
      <w:pStyle w:val="Cmsor7"/>
      <w:numFmt w:val="decimal"/>
      <w:lvlText w:val="%1.%2.%3.%4.%5.%6.%7"/>
      <w:lvlJc w:val="left"/>
      <w:pPr>
        <w:ind w:left="1296" w:hanging="1296"/>
      </w:pPr>
    </w:lvl>
    <w:lvl w:ilvl="7">
      <w:start w:val="1"/>
      <w:pStyle w:val="Cmsor8"/>
      <w:numFmt w:val="decimal"/>
      <w:lvlText w:val="%1.%2.%3.%4.%5.%6.%7.%8"/>
      <w:lvlJc w:val="left"/>
      <w:pPr>
        <w:ind w:left="1440" w:hanging="1440"/>
      </w:pPr>
    </w:lvl>
    <w:lvl w:ilvl="8">
      <w:start w:val="1"/>
      <w:pStyle w:val="Cmsor9"/>
      <w:numFmt w:val="decimal"/>
      <w:lvlText w:val="%1.%2.%3.%4.%5.%6.%7.%8.%9"/>
      <w:lvlJc w:val="left"/>
      <w:pPr>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lvl w:ilvl="0">
      <w:start w:val="1"/>
      <w:numFmt w:val="bullet"/>
      <w:lvlText w:val=""/>
      <w:lvlJc w:val="left"/>
      <w:pPr>
        <w:ind w:left="1068" w:hanging="360"/>
      </w:pPr>
      <w:rPr>
        <w:rFonts w:ascii="Symbol" w:hAnsi="Symbol" w:cs="Symbol" w:hint="default"/>
        <w:rFonts w:cs="Symbol"/>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5">
    <w:lvl w:ilvl="0">
      <w:start w:val="1"/>
      <w:numFmt w:val="upperRoman"/>
      <w:lvlText w:val="%1."/>
      <w:lvlJc w:val="left"/>
      <w:pPr>
        <w:ind w:left="720" w:hanging="720"/>
      </w:pPr>
    </w:lvl>
    <w:lvl w:ilvl="1">
      <w:start w:val="1"/>
      <w:numFmt w:val="bullet"/>
      <w:lvlText w:val="•"/>
      <w:lvlJc w:val="left"/>
      <w:pPr>
        <w:ind w:left="1785" w:hanging="705"/>
      </w:pPr>
      <w:rPr>
        <w:rFonts w:ascii="Times New Roman" w:hAnsi="Times New Roman" w:cs="Times New Roman" w:hint="default"/>
        <w:rFonts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1065" w:hanging="705"/>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1065" w:hanging="705"/>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05" w:hanging="705"/>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16">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17">
    <w:lvl w:ilvl="0">
      <w:start w:val="1"/>
      <w:numFmt w:val="bullet"/>
      <w:lvlText w:val=""/>
      <w:lvlJc w:val="left"/>
      <w:pPr>
        <w:ind w:left="720" w:hanging="360"/>
      </w:pPr>
      <w:rPr>
        <w:rFonts w:ascii="Symbol" w:hAnsi="Symbol" w:cs="Symbol" w:hint="default"/>
        <w:rFonts w:cs="Symbol"/>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tabs>
          <w:tab w:val="num" w:pos="720"/>
        </w:tabs>
        <w:ind w:left="720" w:hanging="360"/>
      </w:pPr>
      <w:rPr>
        <w:rFonts w:ascii="Symbol" w:hAnsi="Symbol" w:cs="Symbol" w:hint="default"/>
        <w:rFonts w:cs="Symbol"/>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tabs>
          <w:tab w:val="num" w:pos="720"/>
        </w:tabs>
        <w:ind w:left="720" w:hanging="360"/>
      </w:pPr>
      <w:rPr>
        <w:rFonts w:ascii="Symbol" w:hAnsi="Symbol" w:cs="Symbol" w:hint="default"/>
        <w:rFonts w:cs="Symbol"/>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rFonts w:cs="Symbol"/>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rFonts w:cs="Symbol"/>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lvl w:ilvl="0">
      <w:start w:val="1"/>
      <w:numFmt w:val="bullet"/>
      <w:lvlText w:val=""/>
      <w:lvlJc w:val="left"/>
      <w:pPr>
        <w:ind w:left="697" w:hanging="357"/>
      </w:pPr>
      <w:rPr>
        <w:rFonts w:ascii="Symbol" w:hAnsi="Symbol" w:cs="Symbol" w:hint="default"/>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rFonts w:cs="Symbo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lvl w:ilvl="0">
      <w:start w:val="1"/>
      <w:numFmt w:val="upperRoman"/>
      <w:lvlText w:val="%1."/>
      <w:lvlJc w:val="left"/>
      <w:pPr>
        <w:ind w:left="720" w:hanging="720"/>
      </w:pPr>
    </w:lvl>
    <w:lvl w:ilvl="1">
      <w:start w:val="1"/>
      <w:numFmt w:val="bullet"/>
      <w:lvlText w:val=""/>
      <w:lvlJc w:val="left"/>
      <w:pPr>
        <w:ind w:left="1785" w:hanging="705"/>
      </w:pPr>
      <w:rPr>
        <w:rFonts w:ascii="Symbol" w:hAnsi="Symbol" w:cs="Symbol" w:hint="default"/>
        <w:rFonts w:cs="Symbol"/>
        <w:color w:val="00000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bullet"/>
      <w:lvlText w:val="o"/>
      <w:lvlJc w:val="left"/>
      <w:pPr>
        <w:ind w:left="720" w:hanging="360"/>
      </w:pPr>
      <w:rPr>
        <w:rFonts w:ascii="Courier New" w:hAnsi="Courier New" w:cs="Courier New" w:hint="default"/>
        <w:rFonts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lvl w:ilvl="0">
      <w:start w:val="1"/>
      <w:numFmt w:val="bullet"/>
      <w:lvlText w:val="o"/>
      <w:lvlJc w:val="left"/>
      <w:pPr>
        <w:ind w:left="720" w:hanging="360"/>
      </w:pPr>
      <w:rPr>
        <w:rFonts w:ascii="Courier New" w:hAnsi="Courier New" w:cs="Courier New" w:hint="default"/>
        <w:rFonts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lvl w:ilvl="0">
      <w:start w:val="1"/>
      <w:numFmt w:val="bullet"/>
      <w:lvlText w:val="o"/>
      <w:lvlJc w:val="left"/>
      <w:pPr>
        <w:ind w:left="720" w:hanging="360"/>
      </w:pPr>
      <w:rPr>
        <w:rFonts w:ascii="Courier New" w:hAnsi="Courier New" w:cs="Courier New" w:hint="default"/>
        <w:rFonts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lvl w:ilvl="0">
      <w:start w:val="1"/>
      <w:numFmt w:val="bullet"/>
      <w:lvlText w:val="o"/>
      <w:lvlJc w:val="left"/>
      <w:pPr>
        <w:ind w:left="720" w:hanging="360"/>
      </w:pPr>
      <w:rPr>
        <w:rFonts w:ascii="Courier New" w:hAnsi="Courier New" w:cs="Courier New" w:hint="default"/>
        <w:rFonts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lvl w:ilvl="0">
      <w:start w:val="1"/>
      <w:numFmt w:val="bullet"/>
      <w:lvlText w:val="o"/>
      <w:lvlJc w:val="left"/>
      <w:pPr>
        <w:ind w:left="720" w:hanging="360"/>
      </w:pPr>
      <w:rPr>
        <w:rFonts w:ascii="Courier New" w:hAnsi="Courier New" w:cs="Courier New" w:hint="default"/>
        <w:b/>
        <w:rFonts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bullet"/>
      <w:lvlText w:val="-"/>
      <w:lvlJc w:val="left"/>
      <w:pPr>
        <w:ind w:left="1068" w:hanging="360"/>
      </w:pPr>
      <w:rPr>
        <w:rFonts w:ascii="Times New Roman" w:hAnsi="Times New Roman" w:cs="Times New Roman" w:hint="default"/>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decimal"/>
      <w:lvlText w:val="%3."/>
      <w:lvlJc w:val="left"/>
      <w:pPr>
        <w:ind w:left="744" w:hanging="360"/>
      </w:pPr>
    </w:lvl>
    <w:lvl w:ilvl="3">
      <w:start w:val="1"/>
      <w:numFmt w:val="decimal"/>
      <w:lvlText w:val="%4."/>
      <w:lvlJc w:val="left"/>
      <w:pPr>
        <w:ind w:left="1464" w:hanging="360"/>
      </w:pPr>
    </w:lvl>
    <w:lvl w:ilvl="4">
      <w:start w:val="1"/>
      <w:numFmt w:val="decimal"/>
      <w:lvlText w:val="%5."/>
      <w:lvlJc w:val="left"/>
      <w:pPr>
        <w:ind w:left="2184" w:hanging="360"/>
      </w:pPr>
    </w:lvl>
    <w:lvl w:ilvl="5">
      <w:start w:val="1"/>
      <w:numFmt w:val="decimal"/>
      <w:lvlText w:val="%6."/>
      <w:lvlJc w:val="left"/>
      <w:pPr>
        <w:ind w:left="2904" w:hanging="360"/>
      </w:pPr>
    </w:lvl>
    <w:lvl w:ilvl="6">
      <w:start w:val="1"/>
      <w:numFmt w:val="decimal"/>
      <w:lvlText w:val="%7."/>
      <w:lvlJc w:val="left"/>
      <w:pPr>
        <w:ind w:left="3624" w:hanging="360"/>
      </w:pPr>
    </w:lvl>
    <w:lvl w:ilvl="7">
      <w:start w:val="1"/>
      <w:numFmt w:val="decimal"/>
      <w:lvlText w:val="%8."/>
      <w:lvlJc w:val="left"/>
      <w:pPr>
        <w:ind w:left="4344" w:hanging="360"/>
      </w:pPr>
    </w:lvl>
    <w:lvl w:ilvl="8">
      <w:start w:val="1"/>
      <w:numFmt w:val="decimal"/>
      <w:lvlText w:val="%9."/>
      <w:lvlJc w:val="left"/>
      <w:pPr>
        <w:ind w:left="5064" w:hanging="360"/>
      </w:pPr>
    </w:lvl>
  </w:abstractNum>
  <w:abstractNum w:abstractNumId="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9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13c7"/>
    <w:pPr>
      <w:widowControl/>
      <w:suppressAutoHyphens w:val="true"/>
      <w:bidi w:val="0"/>
      <w:jc w:val="both"/>
    </w:pPr>
    <w:rPr>
      <w:rFonts w:ascii="Times New Roman" w:hAnsi="Times New Roman" w:eastAsia="Calibri" w:cs="Times New Roman"/>
      <w:color w:val="00000A"/>
      <w:sz w:val="24"/>
      <w:szCs w:val="22"/>
      <w:lang w:val="hu-HU" w:eastAsia="zh-CN" w:bidi="ar-SA"/>
    </w:rPr>
  </w:style>
  <w:style w:type="paragraph" w:styleId="Cmsor1">
    <w:name w:val="Heading 1"/>
    <w:basedOn w:val="Normal"/>
    <w:qFormat/>
    <w:rsid w:val="007b10f6"/>
    <w:pPr>
      <w:keepLines/>
      <w:numPr>
        <w:ilvl w:val="0"/>
        <w:numId w:val="1"/>
      </w:numPr>
      <w:spacing w:before="240" w:after="120"/>
      <w:ind w:left="431" w:hanging="431"/>
      <w:outlineLvl w:val="0"/>
      <w:outlineLvl w:val="0"/>
    </w:pPr>
    <w:rPr>
      <w:rFonts w:ascii="Times New Roman félkövér" w:hAnsi="Times New Roman félkövér"/>
      <w:b/>
      <w:caps/>
      <w:sz w:val="26"/>
      <w:szCs w:val="26"/>
    </w:rPr>
  </w:style>
  <w:style w:type="paragraph" w:styleId="Cmsor2">
    <w:name w:val="Heading 2"/>
    <w:basedOn w:val="Cmsor"/>
    <w:qFormat/>
    <w:rsid w:val="007132b4"/>
    <w:pPr>
      <w:widowControl w:val="false"/>
      <w:numPr>
        <w:ilvl w:val="1"/>
        <w:numId w:val="1"/>
      </w:numPr>
      <w:bidi w:val="0"/>
      <w:spacing w:before="120" w:after="120"/>
      <w:jc w:val="left"/>
      <w:outlineLvl w:val="1"/>
      <w:outlineLvl w:val="1"/>
    </w:pPr>
    <w:rPr>
      <w:rFonts w:ascii="Times New Roman" w:hAnsi="Times New Roman" w:eastAsia="Times New Roman" w:cs="Times New Roman"/>
      <w:b/>
      <w:color w:val="00000A"/>
      <w:sz w:val="24"/>
      <w:szCs w:val="20"/>
      <w:u w:val="single"/>
      <w:lang w:val="hu-HU" w:eastAsia="hu-HU" w:bidi="ar-SA"/>
    </w:rPr>
  </w:style>
  <w:style w:type="paragraph" w:styleId="Cmsor3">
    <w:name w:val="Heading 3"/>
    <w:basedOn w:val="Cmsor"/>
    <w:qFormat/>
    <w:rsid w:val="009b3fc7"/>
    <w:pPr>
      <w:numPr>
        <w:ilvl w:val="2"/>
        <w:numId w:val="1"/>
      </w:numPr>
      <w:outlineLvl w:val="2"/>
      <w:outlineLvl w:val="2"/>
    </w:pPr>
    <w:rPr>
      <w:rFonts w:ascii="Times New Roman" w:hAnsi="Times New Roman" w:cs="Times New Roman"/>
      <w:b/>
      <w:bCs/>
      <w:i/>
      <w:sz w:val="24"/>
      <w:szCs w:val="24"/>
    </w:rPr>
  </w:style>
  <w:style w:type="paragraph" w:styleId="Cmsor4">
    <w:name w:val="Heading 4"/>
    <w:basedOn w:val="Normal"/>
    <w:link w:val="Cmsor4Char"/>
    <w:unhideWhenUsed/>
    <w:qFormat/>
    <w:rsid w:val="005708ed"/>
    <w:pPr>
      <w:keepNext/>
      <w:numPr>
        <w:ilvl w:val="3"/>
        <w:numId w:val="1"/>
      </w:numPr>
      <w:spacing w:before="240" w:after="60"/>
      <w:outlineLvl w:val="3"/>
      <w:outlineLvl w:val="3"/>
    </w:pPr>
    <w:rPr>
      <w:rFonts w:ascii="Calibri" w:hAnsi="Calibri" w:eastAsia="Times New Roman"/>
      <w:b/>
      <w:bCs/>
      <w:sz w:val="28"/>
      <w:szCs w:val="28"/>
    </w:rPr>
  </w:style>
  <w:style w:type="paragraph" w:styleId="Cmsor5">
    <w:name w:val="Heading 5"/>
    <w:basedOn w:val="Normal"/>
    <w:link w:val="Cmsor5Char"/>
    <w:unhideWhenUsed/>
    <w:qFormat/>
    <w:rsid w:val="005708ed"/>
    <w:pPr>
      <w:numPr>
        <w:ilvl w:val="4"/>
        <w:numId w:val="1"/>
      </w:numPr>
      <w:spacing w:before="240" w:after="60"/>
      <w:outlineLvl w:val="4"/>
      <w:outlineLvl w:val="4"/>
    </w:pPr>
    <w:rPr>
      <w:rFonts w:ascii="Calibri" w:hAnsi="Calibri" w:eastAsia="Times New Roman"/>
      <w:b/>
      <w:bCs/>
      <w:i/>
      <w:iCs/>
      <w:sz w:val="26"/>
      <w:szCs w:val="26"/>
    </w:rPr>
  </w:style>
  <w:style w:type="paragraph" w:styleId="Cmsor6">
    <w:name w:val="Heading 6"/>
    <w:basedOn w:val="Normal"/>
    <w:link w:val="Cmsor6Char"/>
    <w:unhideWhenUsed/>
    <w:qFormat/>
    <w:rsid w:val="005708ed"/>
    <w:pPr>
      <w:numPr>
        <w:ilvl w:val="5"/>
        <w:numId w:val="1"/>
      </w:numPr>
      <w:spacing w:before="240" w:after="60"/>
      <w:outlineLvl w:val="5"/>
      <w:outlineLvl w:val="5"/>
    </w:pPr>
    <w:rPr>
      <w:rFonts w:ascii="Calibri" w:hAnsi="Calibri" w:eastAsia="Times New Roman"/>
      <w:b/>
      <w:bCs/>
      <w:sz w:val="22"/>
    </w:rPr>
  </w:style>
  <w:style w:type="paragraph" w:styleId="Cmsor7">
    <w:name w:val="Heading 7"/>
    <w:basedOn w:val="Normal"/>
    <w:link w:val="Cmsor7Char"/>
    <w:unhideWhenUsed/>
    <w:qFormat/>
    <w:rsid w:val="005708ed"/>
    <w:pPr>
      <w:numPr>
        <w:ilvl w:val="6"/>
        <w:numId w:val="1"/>
      </w:numPr>
      <w:spacing w:before="240" w:after="60"/>
      <w:outlineLvl w:val="6"/>
      <w:outlineLvl w:val="6"/>
    </w:pPr>
    <w:rPr>
      <w:rFonts w:ascii="Calibri" w:hAnsi="Calibri" w:eastAsia="Times New Roman"/>
      <w:szCs w:val="24"/>
    </w:rPr>
  </w:style>
  <w:style w:type="paragraph" w:styleId="Cmsor8">
    <w:name w:val="Heading 8"/>
    <w:basedOn w:val="Normal"/>
    <w:link w:val="Cmsor8Char"/>
    <w:unhideWhenUsed/>
    <w:qFormat/>
    <w:rsid w:val="005708ed"/>
    <w:pPr>
      <w:numPr>
        <w:ilvl w:val="7"/>
        <w:numId w:val="1"/>
      </w:numPr>
      <w:spacing w:before="240" w:after="60"/>
      <w:outlineLvl w:val="7"/>
      <w:outlineLvl w:val="7"/>
    </w:pPr>
    <w:rPr>
      <w:rFonts w:ascii="Calibri" w:hAnsi="Calibri" w:eastAsia="Times New Roman"/>
      <w:i/>
      <w:iCs/>
      <w:szCs w:val="24"/>
    </w:rPr>
  </w:style>
  <w:style w:type="paragraph" w:styleId="Cmsor9">
    <w:name w:val="Heading 9"/>
    <w:basedOn w:val="Normal"/>
    <w:link w:val="Cmsor9Char"/>
    <w:unhideWhenUsed/>
    <w:qFormat/>
    <w:rsid w:val="005708ed"/>
    <w:pPr>
      <w:numPr>
        <w:ilvl w:val="8"/>
        <w:numId w:val="1"/>
      </w:numPr>
      <w:spacing w:before="240" w:after="60"/>
      <w:outlineLvl w:val="8"/>
      <w:outlineLvl w:val="8"/>
    </w:pPr>
    <w:rPr>
      <w:rFonts w:ascii="Calibri Light" w:hAnsi="Calibri Light" w:eastAsia="Times New Roman"/>
      <w:sz w:val="22"/>
    </w:rPr>
  </w:style>
  <w:style w:type="character" w:styleId="DefaultParagraphFont" w:default="1">
    <w:name w:val="Default Paragraph Font"/>
    <w:uiPriority w:val="1"/>
    <w:semiHidden/>
    <w:unhideWhenUsed/>
    <w:qFormat/>
    <w:rPr/>
  </w:style>
  <w:style w:type="character" w:styleId="WW8Num2ztrue" w:customStyle="1">
    <w:name w:val="WW8Num2ztrue"/>
    <w:qFormat/>
    <w:rPr/>
  </w:style>
  <w:style w:type="character" w:styleId="WWWW8Num2ztrue" w:customStyle="1">
    <w:name w:val="WW-WW8Num2ztrue"/>
    <w:qFormat/>
    <w:rPr/>
  </w:style>
  <w:style w:type="character" w:styleId="WWWW8Num2ztrue1" w:customStyle="1">
    <w:name w:val="WW-WW8Num2ztrue1"/>
    <w:qFormat/>
    <w:rPr/>
  </w:style>
  <w:style w:type="character" w:styleId="WWWW8Num2ztrue2" w:customStyle="1">
    <w:name w:val="WW-WW8Num2ztrue2"/>
    <w:qFormat/>
    <w:rPr/>
  </w:style>
  <w:style w:type="character" w:styleId="WWWW8Num2ztrue3" w:customStyle="1">
    <w:name w:val="WW-WW8Num2ztrue3"/>
    <w:qFormat/>
    <w:rPr/>
  </w:style>
  <w:style w:type="character" w:styleId="WWWW8Num2ztrue4" w:customStyle="1">
    <w:name w:val="WW-WW8Num2ztrue4"/>
    <w:qFormat/>
    <w:rPr/>
  </w:style>
  <w:style w:type="character" w:styleId="WWWW8Num2ztrue5" w:customStyle="1">
    <w:name w:val="WW-WW8Num2ztrue5"/>
    <w:qFormat/>
    <w:rPr/>
  </w:style>
  <w:style w:type="character" w:styleId="WWWW8Num2ztrue6" w:customStyle="1">
    <w:name w:val="WW-WW8Num2ztrue6"/>
    <w:qFormat/>
    <w:rPr/>
  </w:style>
  <w:style w:type="character" w:styleId="WWWW8Num2ztrue7" w:customStyle="1">
    <w:name w:val="WW-WW8Num2ztrue7"/>
    <w:qFormat/>
    <w:rPr/>
  </w:style>
  <w:style w:type="character" w:styleId="WWWW8Num2ztrue11" w:customStyle="1">
    <w:name w:val="WW-WW8Num2ztrue11"/>
    <w:qFormat/>
    <w:rPr/>
  </w:style>
  <w:style w:type="character" w:styleId="WWWW8Num2ztrue21" w:customStyle="1">
    <w:name w:val="WW-WW8Num2ztrue21"/>
    <w:qFormat/>
    <w:rPr/>
  </w:style>
  <w:style w:type="character" w:styleId="WWWW8Num2ztrue31" w:customStyle="1">
    <w:name w:val="WW-WW8Num2ztrue31"/>
    <w:qFormat/>
    <w:rPr/>
  </w:style>
  <w:style w:type="character" w:styleId="WWWW8Num2ztrue41" w:customStyle="1">
    <w:name w:val="WW-WW8Num2ztrue41"/>
    <w:qFormat/>
    <w:rPr/>
  </w:style>
  <w:style w:type="character" w:styleId="WWWW8Num2ztrue51" w:customStyle="1">
    <w:name w:val="WW-WW8Num2ztrue51"/>
    <w:qFormat/>
    <w:rPr/>
  </w:style>
  <w:style w:type="character" w:styleId="WWWW8Num2ztrue61" w:customStyle="1">
    <w:name w:val="WW-WW8Num2ztrue6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5z0" w:customStyle="1">
    <w:name w:val="WW8Num5z0"/>
    <w:qFormat/>
    <w:rPr>
      <w:rFonts w:ascii="Symbol" w:hAnsi="Symbol" w:cs="Symbol"/>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11z0" w:customStyle="1">
    <w:name w:val="WW8Num11z0"/>
    <w:qFormat/>
    <w:rPr>
      <w:rFonts w:ascii="Times New Roman" w:hAnsi="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Bekezdsalapbettpusa1" w:customStyle="1">
    <w:name w:val="Bekezdés alapbetűtípusa1"/>
    <w:qFormat/>
    <w:rPr/>
  </w:style>
  <w:style w:type="character" w:styleId="CharChar2" w:customStyle="1">
    <w:name w:val="Char Char2"/>
    <w:qFormat/>
    <w:rPr>
      <w:rFonts w:ascii="Tahoma" w:hAnsi="Tahoma" w:cs="Tahoma"/>
      <w:sz w:val="16"/>
      <w:szCs w:val="16"/>
    </w:rPr>
  </w:style>
  <w:style w:type="character" w:styleId="CharChar1" w:customStyle="1">
    <w:name w:val="Char Char1"/>
    <w:basedOn w:val="Bekezdsalapbettpusa1"/>
    <w:qFormat/>
    <w:rPr/>
  </w:style>
  <w:style w:type="character" w:styleId="CharChar" w:customStyle="1">
    <w:name w:val="Char Char"/>
    <w:basedOn w:val="Bekezdsalapbettpusa1"/>
    <w:qFormat/>
    <w:rPr/>
  </w:style>
  <w:style w:type="character" w:styleId="Internethivatkozs">
    <w:name w:val="Internet-hivatkozás"/>
    <w:uiPriority w:val="99"/>
    <w:rPr>
      <w:color w:val="000080"/>
      <w:u w:val="single"/>
    </w:rPr>
  </w:style>
  <w:style w:type="character" w:styleId="LlbChar" w:customStyle="1">
    <w:name w:val="Élőláb Char"/>
    <w:link w:val="llb"/>
    <w:uiPriority w:val="99"/>
    <w:qFormat/>
    <w:rsid w:val="006519ca"/>
    <w:rPr>
      <w:rFonts w:eastAsia="Calibri"/>
      <w:sz w:val="24"/>
      <w:szCs w:val="22"/>
      <w:lang w:eastAsia="zh-CN"/>
    </w:rPr>
  </w:style>
  <w:style w:type="character" w:styleId="Cmsor4Char" w:customStyle="1">
    <w:name w:val="Címsor 4 Char"/>
    <w:link w:val="Cmsor4"/>
    <w:qFormat/>
    <w:rsid w:val="005708ed"/>
    <w:rPr>
      <w:rFonts w:ascii="Calibri" w:hAnsi="Calibri"/>
      <w:b/>
      <w:bCs/>
      <w:sz w:val="28"/>
      <w:szCs w:val="28"/>
      <w:lang w:eastAsia="zh-CN"/>
    </w:rPr>
  </w:style>
  <w:style w:type="character" w:styleId="Cmsor5Char" w:customStyle="1">
    <w:name w:val="Címsor 5 Char"/>
    <w:link w:val="Cmsor5"/>
    <w:qFormat/>
    <w:rsid w:val="005708ed"/>
    <w:rPr>
      <w:rFonts w:ascii="Calibri" w:hAnsi="Calibri"/>
      <w:b/>
      <w:bCs/>
      <w:i/>
      <w:iCs/>
      <w:sz w:val="26"/>
      <w:szCs w:val="26"/>
      <w:lang w:eastAsia="zh-CN"/>
    </w:rPr>
  </w:style>
  <w:style w:type="character" w:styleId="Cmsor6Char" w:customStyle="1">
    <w:name w:val="Címsor 6 Char"/>
    <w:link w:val="Cmsor6"/>
    <w:qFormat/>
    <w:rsid w:val="005708ed"/>
    <w:rPr>
      <w:rFonts w:ascii="Calibri" w:hAnsi="Calibri"/>
      <w:b/>
      <w:bCs/>
      <w:sz w:val="22"/>
      <w:szCs w:val="22"/>
      <w:lang w:eastAsia="zh-CN"/>
    </w:rPr>
  </w:style>
  <w:style w:type="character" w:styleId="Cmsor7Char" w:customStyle="1">
    <w:name w:val="Címsor 7 Char"/>
    <w:link w:val="Cmsor7"/>
    <w:qFormat/>
    <w:rsid w:val="005708ed"/>
    <w:rPr>
      <w:rFonts w:ascii="Calibri" w:hAnsi="Calibri"/>
      <w:sz w:val="24"/>
      <w:szCs w:val="24"/>
      <w:lang w:eastAsia="zh-CN"/>
    </w:rPr>
  </w:style>
  <w:style w:type="character" w:styleId="Cmsor8Char" w:customStyle="1">
    <w:name w:val="Címsor 8 Char"/>
    <w:link w:val="Cmsor8"/>
    <w:qFormat/>
    <w:rsid w:val="005708ed"/>
    <w:rPr>
      <w:rFonts w:ascii="Calibri" w:hAnsi="Calibri"/>
      <w:i/>
      <w:iCs/>
      <w:sz w:val="24"/>
      <w:szCs w:val="24"/>
      <w:lang w:eastAsia="zh-CN"/>
    </w:rPr>
  </w:style>
  <w:style w:type="character" w:styleId="Cmsor9Char" w:customStyle="1">
    <w:name w:val="Címsor 9 Char"/>
    <w:link w:val="Cmsor9"/>
    <w:qFormat/>
    <w:rsid w:val="005708ed"/>
    <w:rPr>
      <w:rFonts w:ascii="Calibri Light" w:hAnsi="Calibri Light"/>
      <w:sz w:val="22"/>
      <w:szCs w:val="22"/>
      <w:lang w:eastAsia="zh-CN"/>
    </w:rPr>
  </w:style>
  <w:style w:type="character" w:styleId="JegyzetszvegChar" w:customStyle="1">
    <w:name w:val="Jegyzetszöveg Char"/>
    <w:basedOn w:val="DefaultParagraphFont"/>
    <w:link w:val="Jegyzetszveg"/>
    <w:semiHidden/>
    <w:qFormat/>
    <w:rsid w:val="005708ed"/>
    <w:rPr/>
  </w:style>
  <w:style w:type="character" w:styleId="LfejChar" w:customStyle="1">
    <w:name w:val="Élőfej Char"/>
    <w:link w:val="lfej"/>
    <w:qFormat/>
    <w:locked/>
    <w:rsid w:val="005708ed"/>
    <w:rPr>
      <w:rFonts w:eastAsia="Calibri"/>
      <w:sz w:val="24"/>
      <w:szCs w:val="22"/>
      <w:lang w:eastAsia="zh-CN"/>
    </w:rPr>
  </w:style>
  <w:style w:type="character" w:styleId="Strong">
    <w:name w:val="Strong"/>
    <w:uiPriority w:val="22"/>
    <w:qFormat/>
    <w:rsid w:val="005708ed"/>
    <w:rPr>
      <w:b/>
      <w:bCs/>
    </w:rPr>
  </w:style>
  <w:style w:type="character" w:styleId="CmChar" w:customStyle="1">
    <w:name w:val="Cím Char"/>
    <w:link w:val="Cm"/>
    <w:uiPriority w:val="10"/>
    <w:qFormat/>
    <w:rsid w:val="005708ed"/>
    <w:rPr>
      <w:rFonts w:eastAsia="Times New Roman" w:cs="Times New Roman"/>
      <w:b/>
      <w:bCs/>
      <w:sz w:val="28"/>
      <w:szCs w:val="32"/>
      <w:lang w:eastAsia="zh-CN"/>
    </w:rPr>
  </w:style>
  <w:style w:type="character" w:styleId="Szvegtrzs3Char" w:customStyle="1">
    <w:name w:val="Szövegtörzs 3 Char"/>
    <w:link w:val="Szvegtrzs3"/>
    <w:uiPriority w:val="99"/>
    <w:semiHidden/>
    <w:qFormat/>
    <w:rsid w:val="00154908"/>
    <w:rPr>
      <w:rFonts w:eastAsia="Calibri"/>
      <w:sz w:val="16"/>
      <w:szCs w:val="16"/>
      <w:lang w:eastAsia="zh-CN"/>
    </w:rPr>
  </w:style>
  <w:style w:type="character" w:styleId="Annotationreference">
    <w:name w:val="annotation reference"/>
    <w:uiPriority w:val="99"/>
    <w:semiHidden/>
    <w:unhideWhenUsed/>
    <w:qFormat/>
    <w:rsid w:val="003a3928"/>
    <w:rPr>
      <w:sz w:val="16"/>
      <w:szCs w:val="16"/>
    </w:rPr>
  </w:style>
  <w:style w:type="character" w:styleId="MegjegyzstrgyaChar" w:customStyle="1">
    <w:name w:val="Megjegyzés tárgya Char"/>
    <w:link w:val="Megjegyzstrgya"/>
    <w:uiPriority w:val="99"/>
    <w:semiHidden/>
    <w:qFormat/>
    <w:rsid w:val="003a3928"/>
    <w:rPr>
      <w:rFonts w:eastAsia="Calibri"/>
      <w:b/>
      <w:bCs/>
      <w:lang w:eastAsia="zh-C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Times New Roman"/>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Calibri"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Calibri"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Times New Roman"/>
    </w:rPr>
  </w:style>
  <w:style w:type="character" w:styleId="ListLabel45">
    <w:name w:val="ListLabel 45"/>
    <w:qFormat/>
    <w:rPr>
      <w:rFonts w:cs="Courier New"/>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Courier New"/>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Courier New"/>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Courier New"/>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Courier New"/>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Courier New"/>
    </w:rPr>
  </w:style>
  <w:style w:type="character" w:styleId="ListLabel61">
    <w:name w:val="ListLabel 61"/>
    <w:qFormat/>
    <w:rPr>
      <w:rFonts w:cs="Times New Roman"/>
    </w:rPr>
  </w:style>
  <w:style w:type="character" w:styleId="ListLabel62">
    <w:name w:val="ListLabel 62"/>
    <w:qFormat/>
    <w:rPr>
      <w:color w:val="00000A"/>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color w:val="00000A"/>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color w:val="00000A"/>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color w:val="00000A"/>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color w:val="00000A"/>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color w:val="00000A"/>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b/>
    </w:rPr>
  </w:style>
  <w:style w:type="character" w:styleId="ListLabel96">
    <w:name w:val="ListLabel 96"/>
    <w:qFormat/>
    <w:rPr>
      <w:rFonts w:cs="Courier New"/>
    </w:rPr>
  </w:style>
  <w:style w:type="character" w:styleId="ListLabel97">
    <w:name w:val="ListLabel 97"/>
    <w:qFormat/>
    <w:rPr>
      <w:rFonts w:eastAsia="Times New Roman"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Jegyzkhivatkozs">
    <w:name w:val="Jegyzékhivatkozás"/>
    <w:qFormat/>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Times New Roman"/>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Times New Roman"/>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Times New Roman"/>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Times New Roman"/>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Times New Roman"/>
    </w:rPr>
  </w:style>
  <w:style w:type="character" w:styleId="ListLabel192">
    <w:name w:val="ListLabel 192"/>
    <w:qFormat/>
    <w:rPr>
      <w:rFonts w:cs="Courier New"/>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Courier New"/>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Courier New"/>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Courier New"/>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Courier New"/>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Courier New"/>
    </w:rPr>
  </w:style>
  <w:style w:type="character" w:styleId="ListLabel208">
    <w:name w:val="ListLabel 208"/>
    <w:qFormat/>
    <w:rPr>
      <w:rFonts w:cs="Times New Roman"/>
    </w:rPr>
  </w:style>
  <w:style w:type="character" w:styleId="ListLabel209">
    <w:name w:val="ListLabel 209"/>
    <w:qFormat/>
    <w:rPr>
      <w:rFonts w:cs="Symbol"/>
      <w:color w:val="00000A"/>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color w:val="00000A"/>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color w:val="00000A"/>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color w:val="00000A"/>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color w:val="00000A"/>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Symbol"/>
      <w:color w:val="00000A"/>
    </w:rPr>
  </w:style>
  <w:style w:type="character" w:styleId="ListLabel273">
    <w:name w:val="ListLabel 273"/>
    <w:qFormat/>
    <w:rPr>
      <w:rFonts w:cs="Courier New"/>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cs="Courier New"/>
      <w:b/>
    </w:rPr>
  </w:style>
  <w:style w:type="character" w:styleId="ListLabel278">
    <w:name w:val="ListLabel 278"/>
    <w:qFormat/>
    <w:rPr>
      <w:rFonts w:cs="Times New Roman"/>
    </w:rPr>
  </w:style>
  <w:style w:type="character" w:styleId="ListLabel279">
    <w:name w:val="ListLabel 279"/>
    <w:qFormat/>
    <w:rPr>
      <w:rFonts w:cs="Courier New"/>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Times New Roman"/>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Times New Roman"/>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Times New Roman"/>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Times New Roman"/>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Times New Roman"/>
    </w:rPr>
  </w:style>
  <w:style w:type="character" w:styleId="ListLabel371">
    <w:name w:val="ListLabel 371"/>
    <w:qFormat/>
    <w:rPr>
      <w:rFonts w:cs="Courier New"/>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Courier New"/>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Courier New"/>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Courier New"/>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Courier New"/>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Courier New"/>
    </w:rPr>
  </w:style>
  <w:style w:type="character" w:styleId="ListLabel387">
    <w:name w:val="ListLabel 387"/>
    <w:qFormat/>
    <w:rPr>
      <w:rFonts w:cs="Times New Roman"/>
    </w:rPr>
  </w:style>
  <w:style w:type="character" w:styleId="ListLabel388">
    <w:name w:val="ListLabel 388"/>
    <w:qFormat/>
    <w:rPr>
      <w:rFonts w:cs="Symbol"/>
      <w:color w:val="00000A"/>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color w:val="00000A"/>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color w:val="00000A"/>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color w:val="00000A"/>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color w:val="00000A"/>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Symbol"/>
    </w:rPr>
  </w:style>
  <w:style w:type="character" w:styleId="ListLabel445">
    <w:name w:val="ListLabel 445"/>
    <w:qFormat/>
    <w:rPr>
      <w:rFonts w:cs="Symbol"/>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Symbol"/>
      <w:color w:val="00000A"/>
    </w:rPr>
  </w:style>
  <w:style w:type="character" w:styleId="ListLabel452">
    <w:name w:val="ListLabel 452"/>
    <w:qFormat/>
    <w:rPr>
      <w:rFonts w:cs="Courier New"/>
    </w:rPr>
  </w:style>
  <w:style w:type="character" w:styleId="ListLabel453">
    <w:name w:val="ListLabel 453"/>
    <w:qFormat/>
    <w:rPr>
      <w:rFonts w:cs="Courier New"/>
    </w:rPr>
  </w:style>
  <w:style w:type="character" w:styleId="ListLabel454">
    <w:name w:val="ListLabel 454"/>
    <w:qFormat/>
    <w:rPr>
      <w:rFonts w:cs="Courier New"/>
    </w:rPr>
  </w:style>
  <w:style w:type="character" w:styleId="ListLabel455">
    <w:name w:val="ListLabel 455"/>
    <w:qFormat/>
    <w:rPr>
      <w:rFonts w:cs="Courier New"/>
    </w:rPr>
  </w:style>
  <w:style w:type="character" w:styleId="ListLabel456">
    <w:name w:val="ListLabel 456"/>
    <w:qFormat/>
    <w:rPr>
      <w:rFonts w:cs="Courier New"/>
      <w:b/>
    </w:rPr>
  </w:style>
  <w:style w:type="character" w:styleId="ListLabel457">
    <w:name w:val="ListLabel 457"/>
    <w:qFormat/>
    <w:rPr>
      <w:rFonts w:cs="Times New Roman"/>
    </w:rPr>
  </w:style>
  <w:style w:type="character" w:styleId="ListLabel458">
    <w:name w:val="ListLabel 458"/>
    <w:qFormat/>
    <w:rPr>
      <w:rFonts w:cs="Courier New"/>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cs="Symbol"/>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Symbol"/>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cs="Symbol"/>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rFonts w:cs="Symbol"/>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Times New Roman"/>
    </w:rPr>
  </w:style>
  <w:style w:type="character" w:styleId="ListLabel1200">
    <w:name w:val="ListLabel 1200"/>
    <w:qFormat/>
    <w:rPr>
      <w:rFonts w:cs="Symbol"/>
    </w:rPr>
  </w:style>
  <w:style w:type="character" w:styleId="ListLabel1201">
    <w:name w:val="ListLabel 1201"/>
    <w:qFormat/>
    <w:rPr>
      <w:rFonts w:cs="Courier New"/>
    </w:rPr>
  </w:style>
  <w:style w:type="character" w:styleId="ListLabel1202">
    <w:name w:val="ListLabel 1202"/>
    <w:qFormat/>
    <w:rPr>
      <w:rFonts w:cs="Wingdings"/>
    </w:rPr>
  </w:style>
  <w:style w:type="character" w:styleId="ListLabel1203">
    <w:name w:val="ListLabel 1203"/>
    <w:qFormat/>
    <w:rPr>
      <w:rFonts w:cs="Symbol"/>
    </w:rPr>
  </w:style>
  <w:style w:type="character" w:styleId="ListLabel1204">
    <w:name w:val="ListLabel 1204"/>
    <w:qFormat/>
    <w:rPr>
      <w:rFonts w:cs="Courier New"/>
    </w:rPr>
  </w:style>
  <w:style w:type="character" w:styleId="ListLabel1205">
    <w:name w:val="ListLabel 1205"/>
    <w:qFormat/>
    <w:rPr>
      <w:rFonts w:cs="Wingdings"/>
    </w:rPr>
  </w:style>
  <w:style w:type="character" w:styleId="ListLabel1206">
    <w:name w:val="ListLabel 1206"/>
    <w:qFormat/>
    <w:rPr>
      <w:rFonts w:cs="Symbol"/>
    </w:rPr>
  </w:style>
  <w:style w:type="character" w:styleId="ListLabel1207">
    <w:name w:val="ListLabel 1207"/>
    <w:qFormat/>
    <w:rPr>
      <w:rFonts w:cs="Courier New"/>
    </w:rPr>
  </w:style>
  <w:style w:type="character" w:styleId="ListLabel1208">
    <w:name w:val="ListLabel 1208"/>
    <w:qFormat/>
    <w:rPr>
      <w:rFonts w:cs="Wingdings"/>
    </w:rPr>
  </w:style>
  <w:style w:type="character" w:styleId="ListLabel1209">
    <w:name w:val="ListLabel 1209"/>
    <w:qFormat/>
    <w:rPr>
      <w:rFonts w:cs="Symbol"/>
    </w:rPr>
  </w:style>
  <w:style w:type="character" w:styleId="ListLabel1210">
    <w:name w:val="ListLabel 1210"/>
    <w:qFormat/>
    <w:rPr>
      <w:rFonts w:cs="Courier New"/>
    </w:rPr>
  </w:style>
  <w:style w:type="character" w:styleId="ListLabel1211">
    <w:name w:val="ListLabel 1211"/>
    <w:qFormat/>
    <w:rPr>
      <w:rFonts w:cs="Wingdings"/>
    </w:rPr>
  </w:style>
  <w:style w:type="character" w:styleId="ListLabel1212">
    <w:name w:val="ListLabel 1212"/>
    <w:qFormat/>
    <w:rPr>
      <w:rFonts w:cs="Symbol"/>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cs="Symbol"/>
    </w:rPr>
  </w:style>
  <w:style w:type="character" w:styleId="ListLabel1216">
    <w:name w:val="ListLabel 1216"/>
    <w:qFormat/>
    <w:rPr>
      <w:rFonts w:cs="Courier New"/>
    </w:rPr>
  </w:style>
  <w:style w:type="character" w:styleId="ListLabel1217">
    <w:name w:val="ListLabel 1217"/>
    <w:qFormat/>
    <w:rPr>
      <w:rFonts w:cs="Wingdings"/>
    </w:rPr>
  </w:style>
  <w:style w:type="character" w:styleId="ListLabel1218">
    <w:name w:val="ListLabel 1218"/>
    <w:qFormat/>
    <w:rPr>
      <w:rFonts w:cs="Symbol"/>
    </w:rPr>
  </w:style>
  <w:style w:type="character" w:styleId="ListLabel1219">
    <w:name w:val="ListLabel 1219"/>
    <w:qFormat/>
    <w:rPr>
      <w:rFonts w:cs="Courier New"/>
    </w:rPr>
  </w:style>
  <w:style w:type="character" w:styleId="ListLabel1220">
    <w:name w:val="ListLabel 1220"/>
    <w:qFormat/>
    <w:rPr>
      <w:rFonts w:cs="Wingdings"/>
    </w:rPr>
  </w:style>
  <w:style w:type="character" w:styleId="ListLabel1221">
    <w:name w:val="ListLabel 1221"/>
    <w:qFormat/>
    <w:rPr>
      <w:rFonts w:cs="Symbol"/>
    </w:rPr>
  </w:style>
  <w:style w:type="character" w:styleId="ListLabel1222">
    <w:name w:val="ListLabel 1222"/>
    <w:qFormat/>
    <w:rPr>
      <w:rFonts w:cs="Courier New"/>
    </w:rPr>
  </w:style>
  <w:style w:type="character" w:styleId="ListLabel1223">
    <w:name w:val="ListLabel 1223"/>
    <w:qFormat/>
    <w:rPr>
      <w:rFonts w:cs="Wingdings"/>
    </w:rPr>
  </w:style>
  <w:style w:type="character" w:styleId="ListLabel1224">
    <w:name w:val="ListLabel 1224"/>
    <w:qFormat/>
    <w:rPr>
      <w:rFonts w:cs="Symbol"/>
    </w:rPr>
  </w:style>
  <w:style w:type="character" w:styleId="ListLabel1225">
    <w:name w:val="ListLabel 1225"/>
    <w:qFormat/>
    <w:rPr>
      <w:rFonts w:cs="Courier New"/>
    </w:rPr>
  </w:style>
  <w:style w:type="character" w:styleId="ListLabel1226">
    <w:name w:val="ListLabel 1226"/>
    <w:qFormat/>
    <w:rPr>
      <w:rFonts w:cs="Wingdings"/>
    </w:rPr>
  </w:style>
  <w:style w:type="character" w:styleId="ListLabel1227">
    <w:name w:val="ListLabel 1227"/>
    <w:qFormat/>
    <w:rPr>
      <w:rFonts w:cs="Symbol"/>
    </w:rPr>
  </w:style>
  <w:style w:type="character" w:styleId="ListLabel1228">
    <w:name w:val="ListLabel 1228"/>
    <w:qFormat/>
    <w:rPr>
      <w:rFonts w:cs="Courier New"/>
    </w:rPr>
  </w:style>
  <w:style w:type="character" w:styleId="ListLabel1229">
    <w:name w:val="ListLabel 1229"/>
    <w:qFormat/>
    <w:rPr>
      <w:rFonts w:cs="Wingdings"/>
    </w:rPr>
  </w:style>
  <w:style w:type="character" w:styleId="ListLabel1230">
    <w:name w:val="ListLabel 1230"/>
    <w:qFormat/>
    <w:rPr>
      <w:rFonts w:cs="Symbol"/>
    </w:rPr>
  </w:style>
  <w:style w:type="character" w:styleId="ListLabel1231">
    <w:name w:val="ListLabel 1231"/>
    <w:qFormat/>
    <w:rPr>
      <w:rFonts w:cs="Courier New"/>
    </w:rPr>
  </w:style>
  <w:style w:type="character" w:styleId="ListLabel1232">
    <w:name w:val="ListLabel 1232"/>
    <w:qFormat/>
    <w:rPr>
      <w:rFonts w:cs="Wingdings"/>
    </w:rPr>
  </w:style>
  <w:style w:type="character" w:styleId="ListLabel1233">
    <w:name w:val="ListLabel 1233"/>
    <w:qFormat/>
    <w:rPr>
      <w:rFonts w:cs="Symbol"/>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Times New Roman"/>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Times New Roman"/>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Times New Roman"/>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rFonts w:cs="Times New Roman"/>
    </w:rPr>
  </w:style>
  <w:style w:type="character" w:styleId="ListLabel1273">
    <w:name w:val="ListLabel 1273"/>
    <w:qFormat/>
    <w:rPr>
      <w:rFonts w:cs="Courier New"/>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Courier New"/>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Courier New"/>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cs="Courier New"/>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Courier New"/>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Courier New"/>
    </w:rPr>
  </w:style>
  <w:style w:type="character" w:styleId="ListLabel1289">
    <w:name w:val="ListLabel 1289"/>
    <w:qFormat/>
    <w:rPr>
      <w:rFonts w:cs="Times New Roman"/>
    </w:rPr>
  </w:style>
  <w:style w:type="character" w:styleId="ListLabel1290">
    <w:name w:val="ListLabel 1290"/>
    <w:qFormat/>
    <w:rPr>
      <w:rFonts w:cs="Symbol"/>
      <w:color w:val="00000A"/>
    </w:rPr>
  </w:style>
  <w:style w:type="character" w:styleId="ListLabel1291">
    <w:name w:val="ListLabel 1291"/>
    <w:qFormat/>
    <w:rPr>
      <w:rFonts w:cs="Courier New"/>
    </w:rPr>
  </w:style>
  <w:style w:type="character" w:styleId="ListLabel1292">
    <w:name w:val="ListLabel 1292"/>
    <w:qFormat/>
    <w:rPr>
      <w:rFonts w:cs="Wingdings"/>
    </w:rPr>
  </w:style>
  <w:style w:type="character" w:styleId="ListLabel1293">
    <w:name w:val="ListLabel 1293"/>
    <w:qFormat/>
    <w:rPr>
      <w:rFonts w:cs="Symbol"/>
    </w:rPr>
  </w:style>
  <w:style w:type="character" w:styleId="ListLabel1294">
    <w:name w:val="ListLabel 1294"/>
    <w:qFormat/>
    <w:rPr>
      <w:rFonts w:cs="Courier New"/>
    </w:rPr>
  </w:style>
  <w:style w:type="character" w:styleId="ListLabel1295">
    <w:name w:val="ListLabel 1295"/>
    <w:qFormat/>
    <w:rPr>
      <w:rFonts w:cs="Wingdings"/>
    </w:rPr>
  </w:style>
  <w:style w:type="character" w:styleId="ListLabel1296">
    <w:name w:val="ListLabel 1296"/>
    <w:qFormat/>
    <w:rPr>
      <w:rFonts w:cs="Symbol"/>
    </w:rPr>
  </w:style>
  <w:style w:type="character" w:styleId="ListLabel1297">
    <w:name w:val="ListLabel 1297"/>
    <w:qFormat/>
    <w:rPr>
      <w:rFonts w:cs="Courier New"/>
    </w:rPr>
  </w:style>
  <w:style w:type="character" w:styleId="ListLabel1298">
    <w:name w:val="ListLabel 1298"/>
    <w:qFormat/>
    <w:rPr>
      <w:rFonts w:cs="Wingdings"/>
    </w:rPr>
  </w:style>
  <w:style w:type="character" w:styleId="ListLabel1299">
    <w:name w:val="ListLabel 1299"/>
    <w:qFormat/>
    <w:rPr>
      <w:rFonts w:cs="Symbol"/>
      <w:color w:val="00000A"/>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rFonts w:cs="Symbol"/>
    </w:rPr>
  </w:style>
  <w:style w:type="character" w:styleId="ListLabel1309">
    <w:name w:val="ListLabel 1309"/>
    <w:qFormat/>
    <w:rPr>
      <w:rFonts w:cs="Courier New"/>
    </w:rPr>
  </w:style>
  <w:style w:type="character" w:styleId="ListLabel1310">
    <w:name w:val="ListLabel 1310"/>
    <w:qFormat/>
    <w:rPr>
      <w:rFonts w:cs="Wingdings"/>
    </w:rPr>
  </w:style>
  <w:style w:type="character" w:styleId="ListLabel1311">
    <w:name w:val="ListLabel 1311"/>
    <w:qFormat/>
    <w:rPr>
      <w:rFonts w:cs="Symbol"/>
    </w:rPr>
  </w:style>
  <w:style w:type="character" w:styleId="ListLabel1312">
    <w:name w:val="ListLabel 1312"/>
    <w:qFormat/>
    <w:rPr>
      <w:rFonts w:cs="Courier New"/>
    </w:rPr>
  </w:style>
  <w:style w:type="character" w:styleId="ListLabel1313">
    <w:name w:val="ListLabel 1313"/>
    <w:qFormat/>
    <w:rPr>
      <w:rFonts w:cs="Wingdings"/>
    </w:rPr>
  </w:style>
  <w:style w:type="character" w:styleId="ListLabel1314">
    <w:name w:val="ListLabel 1314"/>
    <w:qFormat/>
    <w:rPr>
      <w:rFonts w:cs="Symbol"/>
    </w:rPr>
  </w:style>
  <w:style w:type="character" w:styleId="ListLabel1315">
    <w:name w:val="ListLabel 1315"/>
    <w:qFormat/>
    <w:rPr>
      <w:rFonts w:cs="Courier New"/>
    </w:rPr>
  </w:style>
  <w:style w:type="character" w:styleId="ListLabel1316">
    <w:name w:val="ListLabel 1316"/>
    <w:qFormat/>
    <w:rPr>
      <w:rFonts w:cs="Wingdings"/>
    </w:rPr>
  </w:style>
  <w:style w:type="character" w:styleId="ListLabel1317">
    <w:name w:val="ListLabel 1317"/>
    <w:qFormat/>
    <w:rPr>
      <w:rFonts w:cs="Symbol"/>
      <w:color w:val="00000A"/>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cs="Symbol"/>
    </w:rPr>
  </w:style>
  <w:style w:type="character" w:styleId="ListLabel1324">
    <w:name w:val="ListLabel 1324"/>
    <w:qFormat/>
    <w:rPr>
      <w:rFonts w:cs="Courier New"/>
    </w:rPr>
  </w:style>
  <w:style w:type="character" w:styleId="ListLabel1325">
    <w:name w:val="ListLabel 1325"/>
    <w:qFormat/>
    <w:rPr>
      <w:rFonts w:cs="Wingdings"/>
    </w:rPr>
  </w:style>
  <w:style w:type="character" w:styleId="ListLabel1326">
    <w:name w:val="ListLabel 1326"/>
    <w:qFormat/>
    <w:rPr>
      <w:rFonts w:cs="Symbol"/>
      <w:color w:val="00000A"/>
    </w:rPr>
  </w:style>
  <w:style w:type="character" w:styleId="ListLabel1327">
    <w:name w:val="ListLabel 1327"/>
    <w:qFormat/>
    <w:rPr>
      <w:rFonts w:cs="Courier New"/>
    </w:rPr>
  </w:style>
  <w:style w:type="character" w:styleId="ListLabel1328">
    <w:name w:val="ListLabel 1328"/>
    <w:qFormat/>
    <w:rPr>
      <w:rFonts w:cs="Wingdings"/>
    </w:rPr>
  </w:style>
  <w:style w:type="character" w:styleId="ListLabel1329">
    <w:name w:val="ListLabel 1329"/>
    <w:qFormat/>
    <w:rPr>
      <w:rFonts w:cs="Symbol"/>
    </w:rPr>
  </w:style>
  <w:style w:type="character" w:styleId="ListLabel1330">
    <w:name w:val="ListLabel 1330"/>
    <w:qFormat/>
    <w:rPr>
      <w:rFonts w:cs="Courier New"/>
    </w:rPr>
  </w:style>
  <w:style w:type="character" w:styleId="ListLabel1331">
    <w:name w:val="ListLabel 1331"/>
    <w:qFormat/>
    <w:rPr>
      <w:rFonts w:cs="Wingdings"/>
    </w:rPr>
  </w:style>
  <w:style w:type="character" w:styleId="ListLabel1332">
    <w:name w:val="ListLabel 1332"/>
    <w:qFormat/>
    <w:rPr>
      <w:rFonts w:cs="Symbol"/>
    </w:rPr>
  </w:style>
  <w:style w:type="character" w:styleId="ListLabel1333">
    <w:name w:val="ListLabel 1333"/>
    <w:qFormat/>
    <w:rPr>
      <w:rFonts w:cs="Courier New"/>
    </w:rPr>
  </w:style>
  <w:style w:type="character" w:styleId="ListLabel1334">
    <w:name w:val="ListLabel 1334"/>
    <w:qFormat/>
    <w:rPr>
      <w:rFonts w:cs="Wingdings"/>
    </w:rPr>
  </w:style>
  <w:style w:type="character" w:styleId="ListLabel1335">
    <w:name w:val="ListLabel 1335"/>
    <w:qFormat/>
    <w:rPr>
      <w:rFonts w:cs="Symbol"/>
      <w:color w:val="00000A"/>
    </w:rPr>
  </w:style>
  <w:style w:type="character" w:styleId="ListLabel1336">
    <w:name w:val="ListLabel 1336"/>
    <w:qFormat/>
    <w:rPr>
      <w:rFonts w:cs="Courier New"/>
    </w:rPr>
  </w:style>
  <w:style w:type="character" w:styleId="ListLabel1337">
    <w:name w:val="ListLabel 1337"/>
    <w:qFormat/>
    <w:rPr>
      <w:rFonts w:cs="Wingdings"/>
    </w:rPr>
  </w:style>
  <w:style w:type="character" w:styleId="ListLabel1338">
    <w:name w:val="ListLabel 1338"/>
    <w:qFormat/>
    <w:rPr>
      <w:rFonts w:cs="Symbol"/>
    </w:rPr>
  </w:style>
  <w:style w:type="character" w:styleId="ListLabel1339">
    <w:name w:val="ListLabel 1339"/>
    <w:qFormat/>
    <w:rPr>
      <w:rFonts w:cs="Courier New"/>
    </w:rPr>
  </w:style>
  <w:style w:type="character" w:styleId="ListLabel1340">
    <w:name w:val="ListLabel 1340"/>
    <w:qFormat/>
    <w:rPr>
      <w:rFonts w:cs="Wingdings"/>
    </w:rPr>
  </w:style>
  <w:style w:type="character" w:styleId="ListLabel1341">
    <w:name w:val="ListLabel 1341"/>
    <w:qFormat/>
    <w:rPr>
      <w:rFonts w:cs="Symbol"/>
    </w:rPr>
  </w:style>
  <w:style w:type="character" w:styleId="ListLabel1342">
    <w:name w:val="ListLabel 1342"/>
    <w:qFormat/>
    <w:rPr>
      <w:rFonts w:cs="Courier New"/>
    </w:rPr>
  </w:style>
  <w:style w:type="character" w:styleId="ListLabel1343">
    <w:name w:val="ListLabel 1343"/>
    <w:qFormat/>
    <w:rPr>
      <w:rFonts w:cs="Wingdings"/>
    </w:rPr>
  </w:style>
  <w:style w:type="character" w:styleId="ListLabel1344">
    <w:name w:val="ListLabel 1344"/>
    <w:qFormat/>
    <w:rPr>
      <w:rFonts w:cs="Symbol"/>
    </w:rPr>
  </w:style>
  <w:style w:type="character" w:styleId="ListLabel1345">
    <w:name w:val="ListLabel 1345"/>
    <w:qFormat/>
    <w:rPr>
      <w:rFonts w:cs="Courier New"/>
    </w:rPr>
  </w:style>
  <w:style w:type="character" w:styleId="ListLabel1346">
    <w:name w:val="ListLabel 1346"/>
    <w:qFormat/>
    <w:rPr>
      <w:rFonts w:cs="Symbol"/>
    </w:rPr>
  </w:style>
  <w:style w:type="character" w:styleId="ListLabel1347">
    <w:name w:val="ListLabel 1347"/>
    <w:qFormat/>
    <w:rPr>
      <w:rFonts w:cs="Symbol"/>
    </w:rPr>
  </w:style>
  <w:style w:type="character" w:styleId="ListLabel1348">
    <w:name w:val="ListLabel 1348"/>
    <w:qFormat/>
    <w:rPr>
      <w:rFonts w:cs="Symbol"/>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Symbol"/>
      <w:color w:val="00000A"/>
    </w:rPr>
  </w:style>
  <w:style w:type="character" w:styleId="ListLabel1354">
    <w:name w:val="ListLabel 1354"/>
    <w:qFormat/>
    <w:rPr>
      <w:rFonts w:cs="Courier New"/>
    </w:rPr>
  </w:style>
  <w:style w:type="character" w:styleId="ListLabel1355">
    <w:name w:val="ListLabel 1355"/>
    <w:qFormat/>
    <w:rPr>
      <w:rFonts w:cs="Courier New"/>
    </w:rPr>
  </w:style>
  <w:style w:type="character" w:styleId="ListLabel1356">
    <w:name w:val="ListLabel 1356"/>
    <w:qFormat/>
    <w:rPr>
      <w:rFonts w:cs="Courier New"/>
    </w:rPr>
  </w:style>
  <w:style w:type="character" w:styleId="ListLabel1357">
    <w:name w:val="ListLabel 1357"/>
    <w:qFormat/>
    <w:rPr>
      <w:rFonts w:cs="Courier New"/>
    </w:rPr>
  </w:style>
  <w:style w:type="character" w:styleId="ListLabel1358">
    <w:name w:val="ListLabel 1358"/>
    <w:qFormat/>
    <w:rPr>
      <w:rFonts w:cs="Courier New"/>
      <w:b/>
    </w:rPr>
  </w:style>
  <w:style w:type="character" w:styleId="ListLabel1359">
    <w:name w:val="ListLabel 1359"/>
    <w:qFormat/>
    <w:rPr>
      <w:rFonts w:cs="Times New Roman"/>
    </w:rPr>
  </w:style>
  <w:style w:type="character" w:styleId="ListLabel1360">
    <w:name w:val="ListLabel 1360"/>
    <w:qFormat/>
    <w:rPr>
      <w:rFonts w:cs="Courier New"/>
    </w:rPr>
  </w:style>
  <w:style w:type="character" w:styleId="ListLabel1361">
    <w:name w:val="ListLabel 1361"/>
    <w:qFormat/>
    <w:rPr>
      <w:rFonts w:cs="Courier New"/>
    </w:rPr>
  </w:style>
  <w:style w:type="character" w:styleId="ListLabel1362">
    <w:name w:val="ListLabel 1362"/>
    <w:qFormat/>
    <w:rPr>
      <w:rFonts w:cs="Wingdings"/>
    </w:rPr>
  </w:style>
  <w:style w:type="character" w:styleId="ListLabel1363">
    <w:name w:val="ListLabel 1363"/>
    <w:qFormat/>
    <w:rPr>
      <w:rFonts w:cs="Symbol"/>
    </w:rPr>
  </w:style>
  <w:style w:type="character" w:styleId="ListLabel1364">
    <w:name w:val="ListLabel 1364"/>
    <w:qFormat/>
    <w:rPr>
      <w:rFonts w:cs="Courier New"/>
    </w:rPr>
  </w:style>
  <w:style w:type="character" w:styleId="ListLabel1365">
    <w:name w:val="ListLabel 1365"/>
    <w:qFormat/>
    <w:rPr>
      <w:rFonts w:cs="Wingdings"/>
    </w:rPr>
  </w:style>
  <w:style w:type="character" w:styleId="ListLabel1366">
    <w:name w:val="ListLabel 1366"/>
    <w:qFormat/>
    <w:rPr>
      <w:rFonts w:cs="Symbol"/>
    </w:rPr>
  </w:style>
  <w:style w:type="character" w:styleId="ListLabel1367">
    <w:name w:val="ListLabel 1367"/>
    <w:qFormat/>
    <w:rPr>
      <w:rFonts w:cs="Courier New"/>
    </w:rPr>
  </w:style>
  <w:style w:type="character" w:styleId="ListLabel1368">
    <w:name w:val="ListLabel 1368"/>
    <w:qFormat/>
    <w:rPr>
      <w:rFonts w:cs="Wingdings"/>
    </w:rPr>
  </w:style>
  <w:style w:type="character" w:styleId="Felsorolsjel">
    <w:name w:val="Felsorolásjel"/>
    <w:qFormat/>
    <w:rPr>
      <w:rFonts w:ascii="OpenSymbol" w:hAnsi="OpenSymbol" w:eastAsia="OpenSymbol" w:cs="OpenSymbol"/>
    </w:rPr>
  </w:style>
  <w:style w:type="character" w:styleId="ListLabel1369">
    <w:name w:val="ListLabel 1369"/>
    <w:qFormat/>
    <w:rPr>
      <w:rFonts w:cs="Symbol"/>
    </w:rPr>
  </w:style>
  <w:style w:type="character" w:styleId="ListLabel1370">
    <w:name w:val="ListLabel 1370"/>
    <w:qFormat/>
    <w:rPr>
      <w:rFonts w:cs="Courier New"/>
    </w:rPr>
  </w:style>
  <w:style w:type="character" w:styleId="ListLabel1371">
    <w:name w:val="ListLabel 1371"/>
    <w:qFormat/>
    <w:rPr>
      <w:rFonts w:cs="Wingdings"/>
    </w:rPr>
  </w:style>
  <w:style w:type="character" w:styleId="ListLabel1372">
    <w:name w:val="ListLabel 1372"/>
    <w:qFormat/>
    <w:rPr>
      <w:rFonts w:cs="Symbol"/>
    </w:rPr>
  </w:style>
  <w:style w:type="character" w:styleId="ListLabel1373">
    <w:name w:val="ListLabel 1373"/>
    <w:qFormat/>
    <w:rPr>
      <w:rFonts w:cs="Courier New"/>
    </w:rPr>
  </w:style>
  <w:style w:type="character" w:styleId="ListLabel1374">
    <w:name w:val="ListLabel 1374"/>
    <w:qFormat/>
    <w:rPr>
      <w:rFonts w:cs="Wingdings"/>
    </w:rPr>
  </w:style>
  <w:style w:type="character" w:styleId="ListLabel1375">
    <w:name w:val="ListLabel 1375"/>
    <w:qFormat/>
    <w:rPr>
      <w:rFonts w:cs="Symbol"/>
    </w:rPr>
  </w:style>
  <w:style w:type="character" w:styleId="ListLabel1376">
    <w:name w:val="ListLabel 1376"/>
    <w:qFormat/>
    <w:rPr>
      <w:rFonts w:cs="Courier New"/>
    </w:rPr>
  </w:style>
  <w:style w:type="character" w:styleId="ListLabel1377">
    <w:name w:val="ListLabel 1377"/>
    <w:qFormat/>
    <w:rPr>
      <w:rFonts w:cs="Wingdings"/>
    </w:rPr>
  </w:style>
  <w:style w:type="character" w:styleId="ListLabel1378">
    <w:name w:val="ListLabel 1378"/>
    <w:qFormat/>
    <w:rPr>
      <w:rFonts w:cs="Times New Roman"/>
    </w:rPr>
  </w:style>
  <w:style w:type="character" w:styleId="ListLabel1379">
    <w:name w:val="ListLabel 1379"/>
    <w:qFormat/>
    <w:rPr>
      <w:rFonts w:cs="Symbol"/>
    </w:rPr>
  </w:style>
  <w:style w:type="character" w:styleId="ListLabel1380">
    <w:name w:val="ListLabel 1380"/>
    <w:qFormat/>
    <w:rPr>
      <w:rFonts w:cs="Courier New"/>
    </w:rPr>
  </w:style>
  <w:style w:type="character" w:styleId="ListLabel1381">
    <w:name w:val="ListLabel 1381"/>
    <w:qFormat/>
    <w:rPr>
      <w:rFonts w:cs="Wingdings"/>
    </w:rPr>
  </w:style>
  <w:style w:type="character" w:styleId="ListLabel1382">
    <w:name w:val="ListLabel 1382"/>
    <w:qFormat/>
    <w:rPr>
      <w:rFonts w:cs="Symbol"/>
    </w:rPr>
  </w:style>
  <w:style w:type="character" w:styleId="ListLabel1383">
    <w:name w:val="ListLabel 1383"/>
    <w:qFormat/>
    <w:rPr>
      <w:rFonts w:cs="Courier New"/>
    </w:rPr>
  </w:style>
  <w:style w:type="character" w:styleId="ListLabel1384">
    <w:name w:val="ListLabel 1384"/>
    <w:qFormat/>
    <w:rPr>
      <w:rFonts w:cs="Wingdings"/>
    </w:rPr>
  </w:style>
  <w:style w:type="character" w:styleId="ListLabel1385">
    <w:name w:val="ListLabel 1385"/>
    <w:qFormat/>
    <w:rPr>
      <w:rFonts w:cs="Symbol"/>
    </w:rPr>
  </w:style>
  <w:style w:type="character" w:styleId="ListLabel1386">
    <w:name w:val="ListLabel 1386"/>
    <w:qFormat/>
    <w:rPr>
      <w:rFonts w:cs="Courier New"/>
    </w:rPr>
  </w:style>
  <w:style w:type="character" w:styleId="ListLabel1387">
    <w:name w:val="ListLabel 1387"/>
    <w:qFormat/>
    <w:rPr>
      <w:rFonts w:cs="Wingdings"/>
    </w:rPr>
  </w:style>
  <w:style w:type="character" w:styleId="ListLabel1388">
    <w:name w:val="ListLabel 1388"/>
    <w:qFormat/>
    <w:rPr>
      <w:rFonts w:cs="Symbol"/>
    </w:rPr>
  </w:style>
  <w:style w:type="character" w:styleId="ListLabel1389">
    <w:name w:val="ListLabel 1389"/>
    <w:qFormat/>
    <w:rPr>
      <w:rFonts w:cs="Courier New"/>
    </w:rPr>
  </w:style>
  <w:style w:type="character" w:styleId="ListLabel1390">
    <w:name w:val="ListLabel 1390"/>
    <w:qFormat/>
    <w:rPr>
      <w:rFonts w:cs="Wingdings"/>
    </w:rPr>
  </w:style>
  <w:style w:type="character" w:styleId="ListLabel1391">
    <w:name w:val="ListLabel 1391"/>
    <w:qFormat/>
    <w:rPr>
      <w:rFonts w:cs="Symbol"/>
    </w:rPr>
  </w:style>
  <w:style w:type="character" w:styleId="ListLabel1392">
    <w:name w:val="ListLabel 1392"/>
    <w:qFormat/>
    <w:rPr>
      <w:rFonts w:cs="Courier New"/>
    </w:rPr>
  </w:style>
  <w:style w:type="character" w:styleId="ListLabel1393">
    <w:name w:val="ListLabel 1393"/>
    <w:qFormat/>
    <w:rPr>
      <w:rFonts w:cs="Wingdings"/>
    </w:rPr>
  </w:style>
  <w:style w:type="character" w:styleId="ListLabel1394">
    <w:name w:val="ListLabel 1394"/>
    <w:qFormat/>
    <w:rPr>
      <w:rFonts w:cs="Symbol"/>
    </w:rPr>
  </w:style>
  <w:style w:type="character" w:styleId="ListLabel1395">
    <w:name w:val="ListLabel 1395"/>
    <w:qFormat/>
    <w:rPr>
      <w:rFonts w:cs="Courier New"/>
    </w:rPr>
  </w:style>
  <w:style w:type="character" w:styleId="ListLabel1396">
    <w:name w:val="ListLabel 1396"/>
    <w:qFormat/>
    <w:rPr>
      <w:rFonts w:cs="Wingdings"/>
    </w:rPr>
  </w:style>
  <w:style w:type="character" w:styleId="ListLabel1397">
    <w:name w:val="ListLabel 1397"/>
    <w:qFormat/>
    <w:rPr>
      <w:rFonts w:cs="Symbol"/>
    </w:rPr>
  </w:style>
  <w:style w:type="character" w:styleId="ListLabel1398">
    <w:name w:val="ListLabel 1398"/>
    <w:qFormat/>
    <w:rPr>
      <w:rFonts w:cs="Courier New"/>
    </w:rPr>
  </w:style>
  <w:style w:type="character" w:styleId="ListLabel1399">
    <w:name w:val="ListLabel 1399"/>
    <w:qFormat/>
    <w:rPr>
      <w:rFonts w:cs="Wingdings"/>
    </w:rPr>
  </w:style>
  <w:style w:type="character" w:styleId="ListLabel1400">
    <w:name w:val="ListLabel 1400"/>
    <w:qFormat/>
    <w:rPr>
      <w:rFonts w:cs="Symbol"/>
    </w:rPr>
  </w:style>
  <w:style w:type="character" w:styleId="ListLabel1401">
    <w:name w:val="ListLabel 1401"/>
    <w:qFormat/>
    <w:rPr>
      <w:rFonts w:cs="Courier New"/>
    </w:rPr>
  </w:style>
  <w:style w:type="character" w:styleId="ListLabel1402">
    <w:name w:val="ListLabel 1402"/>
    <w:qFormat/>
    <w:rPr>
      <w:rFonts w:cs="Wingdings"/>
    </w:rPr>
  </w:style>
  <w:style w:type="character" w:styleId="ListLabel1403">
    <w:name w:val="ListLabel 1403"/>
    <w:qFormat/>
    <w:rPr>
      <w:rFonts w:cs="Symbol"/>
    </w:rPr>
  </w:style>
  <w:style w:type="character" w:styleId="ListLabel1404">
    <w:name w:val="ListLabel 1404"/>
    <w:qFormat/>
    <w:rPr>
      <w:rFonts w:cs="Courier New"/>
    </w:rPr>
  </w:style>
  <w:style w:type="character" w:styleId="ListLabel1405">
    <w:name w:val="ListLabel 1405"/>
    <w:qFormat/>
    <w:rPr>
      <w:rFonts w:cs="Wingdings"/>
    </w:rPr>
  </w:style>
  <w:style w:type="character" w:styleId="ListLabel1406">
    <w:name w:val="ListLabel 1406"/>
    <w:qFormat/>
    <w:rPr>
      <w:rFonts w:cs="Symbol"/>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cs="Symbol"/>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rFonts w:cs="Symbol"/>
    </w:rPr>
  </w:style>
  <w:style w:type="character" w:styleId="ListLabel1419">
    <w:name w:val="ListLabel 1419"/>
    <w:qFormat/>
    <w:rPr>
      <w:rFonts w:cs="Courier New"/>
    </w:rPr>
  </w:style>
  <w:style w:type="character" w:styleId="ListLabel1420">
    <w:name w:val="ListLabel 1420"/>
    <w:qFormat/>
    <w:rPr>
      <w:rFonts w:cs="Wingdings"/>
    </w:rPr>
  </w:style>
  <w:style w:type="character" w:styleId="ListLabel1421">
    <w:name w:val="ListLabel 1421"/>
    <w:qFormat/>
    <w:rPr>
      <w:rFonts w:cs="Symbol"/>
    </w:rPr>
  </w:style>
  <w:style w:type="character" w:styleId="ListLabel1422">
    <w:name w:val="ListLabel 1422"/>
    <w:qFormat/>
    <w:rPr>
      <w:rFonts w:cs="Courier New"/>
    </w:rPr>
  </w:style>
  <w:style w:type="character" w:styleId="ListLabel1423">
    <w:name w:val="ListLabel 1423"/>
    <w:qFormat/>
    <w:rPr>
      <w:rFonts w:cs="Wingdings"/>
    </w:rPr>
  </w:style>
  <w:style w:type="character" w:styleId="ListLabel1424">
    <w:name w:val="ListLabel 1424"/>
    <w:qFormat/>
    <w:rPr>
      <w:rFonts w:cs="Times New Roman"/>
    </w:rPr>
  </w:style>
  <w:style w:type="character" w:styleId="ListLabel1425">
    <w:name w:val="ListLabel 1425"/>
    <w:qFormat/>
    <w:rPr>
      <w:rFonts w:cs="Courier New"/>
    </w:rPr>
  </w:style>
  <w:style w:type="character" w:styleId="ListLabel1426">
    <w:name w:val="ListLabel 1426"/>
    <w:qFormat/>
    <w:rPr>
      <w:rFonts w:cs="Wingdings"/>
    </w:rPr>
  </w:style>
  <w:style w:type="character" w:styleId="ListLabel1427">
    <w:name w:val="ListLabel 1427"/>
    <w:qFormat/>
    <w:rPr>
      <w:rFonts w:cs="Symbol"/>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rPr>
  </w:style>
  <w:style w:type="character" w:styleId="ListLabel1431">
    <w:name w:val="ListLabel 1431"/>
    <w:qFormat/>
    <w:rPr>
      <w:rFonts w:cs="Courier New"/>
    </w:rPr>
  </w:style>
  <w:style w:type="character" w:styleId="ListLabel1432">
    <w:name w:val="ListLabel 1432"/>
    <w:qFormat/>
    <w:rPr>
      <w:rFonts w:cs="Wingdings"/>
    </w:rPr>
  </w:style>
  <w:style w:type="character" w:styleId="ListLabel1433">
    <w:name w:val="ListLabel 1433"/>
    <w:qFormat/>
    <w:rPr>
      <w:rFonts w:cs="Times New Roman"/>
    </w:rPr>
  </w:style>
  <w:style w:type="character" w:styleId="ListLabel1434">
    <w:name w:val="ListLabel 1434"/>
    <w:qFormat/>
    <w:rPr>
      <w:rFonts w:cs="Courier New"/>
    </w:rPr>
  </w:style>
  <w:style w:type="character" w:styleId="ListLabel1435">
    <w:name w:val="ListLabel 1435"/>
    <w:qFormat/>
    <w:rPr>
      <w:rFonts w:cs="Wingdings"/>
    </w:rPr>
  </w:style>
  <w:style w:type="character" w:styleId="ListLabel1436">
    <w:name w:val="ListLabel 1436"/>
    <w:qFormat/>
    <w:rPr>
      <w:rFonts w:cs="Symbol"/>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Times New Roman"/>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Times New Roman"/>
    </w:rPr>
  </w:style>
  <w:style w:type="character" w:styleId="ListLabel1452">
    <w:name w:val="ListLabel 1452"/>
    <w:qFormat/>
    <w:rPr>
      <w:rFonts w:cs="Courier New"/>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Courier New"/>
    </w:rPr>
  </w:style>
  <w:style w:type="character" w:styleId="ListLabel1456">
    <w:name w:val="ListLabel 1456"/>
    <w:qFormat/>
    <w:rPr>
      <w:rFonts w:cs="Times New Roman"/>
    </w:rPr>
  </w:style>
  <w:style w:type="character" w:styleId="ListLabel1457">
    <w:name w:val="ListLabel 1457"/>
    <w:qFormat/>
    <w:rPr>
      <w:rFonts w:cs="Times New Roman"/>
    </w:rPr>
  </w:style>
  <w:style w:type="character" w:styleId="ListLabel1458">
    <w:name w:val="ListLabel 1458"/>
    <w:qFormat/>
    <w:rPr>
      <w:rFonts w:cs="Courier New"/>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Courier New"/>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Courier New"/>
    </w:rPr>
  </w:style>
  <w:style w:type="character" w:styleId="ListLabel1465">
    <w:name w:val="ListLabel 1465"/>
    <w:qFormat/>
    <w:rPr>
      <w:rFonts w:cs="Times New Roman"/>
    </w:rPr>
  </w:style>
  <w:style w:type="character" w:styleId="ListLabel1466">
    <w:name w:val="ListLabel 1466"/>
    <w:qFormat/>
    <w:rPr>
      <w:rFonts w:cs="Times New Roman"/>
    </w:rPr>
  </w:style>
  <w:style w:type="character" w:styleId="ListLabel1467">
    <w:name w:val="ListLabel 1467"/>
    <w:qFormat/>
    <w:rPr>
      <w:rFonts w:cs="Courier New"/>
    </w:rPr>
  </w:style>
  <w:style w:type="character" w:styleId="ListLabel1468">
    <w:name w:val="ListLabel 1468"/>
    <w:qFormat/>
    <w:rPr>
      <w:rFonts w:cs="Times New Roman"/>
    </w:rPr>
  </w:style>
  <w:style w:type="character" w:styleId="ListLabel1469">
    <w:name w:val="ListLabel 1469"/>
    <w:qFormat/>
    <w:rPr>
      <w:rFonts w:cs="Symbol"/>
      <w:color w:val="00000A"/>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rFonts w:cs="Symbol"/>
    </w:rPr>
  </w:style>
  <w:style w:type="character" w:styleId="ListLabel1473">
    <w:name w:val="ListLabel 1473"/>
    <w:qFormat/>
    <w:rPr>
      <w:rFonts w:cs="Courier New"/>
    </w:rPr>
  </w:style>
  <w:style w:type="character" w:styleId="ListLabel1474">
    <w:name w:val="ListLabel 1474"/>
    <w:qFormat/>
    <w:rPr>
      <w:rFonts w:cs="Wingdings"/>
    </w:rPr>
  </w:style>
  <w:style w:type="character" w:styleId="ListLabel1475">
    <w:name w:val="ListLabel 1475"/>
    <w:qFormat/>
    <w:rPr>
      <w:rFonts w:cs="Symbol"/>
    </w:rPr>
  </w:style>
  <w:style w:type="character" w:styleId="ListLabel1476">
    <w:name w:val="ListLabel 1476"/>
    <w:qFormat/>
    <w:rPr>
      <w:rFonts w:cs="Courier New"/>
    </w:rPr>
  </w:style>
  <w:style w:type="character" w:styleId="ListLabel1477">
    <w:name w:val="ListLabel 1477"/>
    <w:qFormat/>
    <w:rPr>
      <w:rFonts w:cs="Wingdings"/>
    </w:rPr>
  </w:style>
  <w:style w:type="character" w:styleId="ListLabel1478">
    <w:name w:val="ListLabel 1478"/>
    <w:qFormat/>
    <w:rPr>
      <w:rFonts w:cs="Symbol"/>
      <w:color w:val="00000A"/>
    </w:rPr>
  </w:style>
  <w:style w:type="character" w:styleId="ListLabel1479">
    <w:name w:val="ListLabel 1479"/>
    <w:qFormat/>
    <w:rPr>
      <w:rFonts w:cs="Courier New"/>
    </w:rPr>
  </w:style>
  <w:style w:type="character" w:styleId="ListLabel1480">
    <w:name w:val="ListLabel 1480"/>
    <w:qFormat/>
    <w:rPr>
      <w:rFonts w:cs="Wingdings"/>
    </w:rPr>
  </w:style>
  <w:style w:type="character" w:styleId="ListLabel1481">
    <w:name w:val="ListLabel 1481"/>
    <w:qFormat/>
    <w:rPr>
      <w:rFonts w:cs="Symbol"/>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cs="Symbol"/>
    </w:rPr>
  </w:style>
  <w:style w:type="character" w:styleId="ListLabel1488">
    <w:name w:val="ListLabel 1488"/>
    <w:qFormat/>
    <w:rPr>
      <w:rFonts w:cs="Courier New"/>
    </w:rPr>
  </w:style>
  <w:style w:type="character" w:styleId="ListLabel1489">
    <w:name w:val="ListLabel 1489"/>
    <w:qFormat/>
    <w:rPr>
      <w:rFonts w:cs="Wingdings"/>
    </w:rPr>
  </w:style>
  <w:style w:type="character" w:styleId="ListLabel1490">
    <w:name w:val="ListLabel 1490"/>
    <w:qFormat/>
    <w:rPr>
      <w:rFonts w:cs="Symbol"/>
    </w:rPr>
  </w:style>
  <w:style w:type="character" w:styleId="ListLabel1491">
    <w:name w:val="ListLabel 1491"/>
    <w:qFormat/>
    <w:rPr>
      <w:rFonts w:cs="Courier New"/>
    </w:rPr>
  </w:style>
  <w:style w:type="character" w:styleId="ListLabel1492">
    <w:name w:val="ListLabel 1492"/>
    <w:qFormat/>
    <w:rPr>
      <w:rFonts w:cs="Wingdings"/>
    </w:rPr>
  </w:style>
  <w:style w:type="character" w:styleId="ListLabel1493">
    <w:name w:val="ListLabel 1493"/>
    <w:qFormat/>
    <w:rPr>
      <w:rFonts w:cs="Symbol"/>
    </w:rPr>
  </w:style>
  <w:style w:type="character" w:styleId="ListLabel1494">
    <w:name w:val="ListLabel 1494"/>
    <w:qFormat/>
    <w:rPr>
      <w:rFonts w:cs="Courier New"/>
    </w:rPr>
  </w:style>
  <w:style w:type="character" w:styleId="ListLabel1495">
    <w:name w:val="ListLabel 1495"/>
    <w:qFormat/>
    <w:rPr>
      <w:rFonts w:cs="Wingdings"/>
    </w:rPr>
  </w:style>
  <w:style w:type="character" w:styleId="ListLabel1496">
    <w:name w:val="ListLabel 1496"/>
    <w:qFormat/>
    <w:rPr>
      <w:rFonts w:cs="Symbol"/>
      <w:color w:val="00000A"/>
    </w:rPr>
  </w:style>
  <w:style w:type="character" w:styleId="ListLabel1497">
    <w:name w:val="ListLabel 1497"/>
    <w:qFormat/>
    <w:rPr>
      <w:rFonts w:cs="Courier New"/>
    </w:rPr>
  </w:style>
  <w:style w:type="character" w:styleId="ListLabel1498">
    <w:name w:val="ListLabel 1498"/>
    <w:qFormat/>
    <w:rPr>
      <w:rFonts w:cs="Wingdings"/>
    </w:rPr>
  </w:style>
  <w:style w:type="character" w:styleId="ListLabel1499">
    <w:name w:val="ListLabel 1499"/>
    <w:qFormat/>
    <w:rPr>
      <w:rFonts w:cs="Symbol"/>
    </w:rPr>
  </w:style>
  <w:style w:type="character" w:styleId="ListLabel1500">
    <w:name w:val="ListLabel 1500"/>
    <w:qFormat/>
    <w:rPr>
      <w:rFonts w:cs="Courier New"/>
    </w:rPr>
  </w:style>
  <w:style w:type="character" w:styleId="ListLabel1501">
    <w:name w:val="ListLabel 1501"/>
    <w:qFormat/>
    <w:rPr>
      <w:rFonts w:cs="Wingdings"/>
    </w:rPr>
  </w:style>
  <w:style w:type="character" w:styleId="ListLabel1502">
    <w:name w:val="ListLabel 1502"/>
    <w:qFormat/>
    <w:rPr>
      <w:rFonts w:cs="Symbol"/>
    </w:rPr>
  </w:style>
  <w:style w:type="character" w:styleId="ListLabel1503">
    <w:name w:val="ListLabel 1503"/>
    <w:qFormat/>
    <w:rPr>
      <w:rFonts w:cs="Courier New"/>
    </w:rPr>
  </w:style>
  <w:style w:type="character" w:styleId="ListLabel1504">
    <w:name w:val="ListLabel 1504"/>
    <w:qFormat/>
    <w:rPr>
      <w:rFonts w:cs="Wingdings"/>
    </w:rPr>
  </w:style>
  <w:style w:type="character" w:styleId="ListLabel1505">
    <w:name w:val="ListLabel 1505"/>
    <w:qFormat/>
    <w:rPr>
      <w:rFonts w:cs="Symbol"/>
      <w:color w:val="00000A"/>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cs="Symbol"/>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rFonts w:cs="Symbol"/>
      <w:color w:val="00000A"/>
    </w:rPr>
  </w:style>
  <w:style w:type="character" w:styleId="ListLabel1515">
    <w:name w:val="ListLabel 1515"/>
    <w:qFormat/>
    <w:rPr>
      <w:rFonts w:cs="Courier New"/>
    </w:rPr>
  </w:style>
  <w:style w:type="character" w:styleId="ListLabel1516">
    <w:name w:val="ListLabel 1516"/>
    <w:qFormat/>
    <w:rPr>
      <w:rFonts w:cs="Wingdings"/>
    </w:rPr>
  </w:style>
  <w:style w:type="character" w:styleId="ListLabel1517">
    <w:name w:val="ListLabel 1517"/>
    <w:qFormat/>
    <w:rPr>
      <w:rFonts w:cs="Symbol"/>
    </w:rPr>
  </w:style>
  <w:style w:type="character" w:styleId="ListLabel1518">
    <w:name w:val="ListLabel 1518"/>
    <w:qFormat/>
    <w:rPr>
      <w:rFonts w:cs="Courier New"/>
    </w:rPr>
  </w:style>
  <w:style w:type="character" w:styleId="ListLabel1519">
    <w:name w:val="ListLabel 1519"/>
    <w:qFormat/>
    <w:rPr>
      <w:rFonts w:cs="Wingdings"/>
    </w:rPr>
  </w:style>
  <w:style w:type="character" w:styleId="ListLabel1520">
    <w:name w:val="ListLabel 1520"/>
    <w:qFormat/>
    <w:rPr>
      <w:rFonts w:cs="Symbol"/>
    </w:rPr>
  </w:style>
  <w:style w:type="character" w:styleId="ListLabel1521">
    <w:name w:val="ListLabel 1521"/>
    <w:qFormat/>
    <w:rPr>
      <w:rFonts w:cs="Courier New"/>
    </w:rPr>
  </w:style>
  <w:style w:type="character" w:styleId="ListLabel1522">
    <w:name w:val="ListLabel 1522"/>
    <w:qFormat/>
    <w:rPr>
      <w:rFonts w:cs="Wingdings"/>
    </w:rPr>
  </w:style>
  <w:style w:type="character" w:styleId="ListLabel1523">
    <w:name w:val="ListLabel 1523"/>
    <w:qFormat/>
    <w:rPr>
      <w:rFonts w:cs="Symbol"/>
    </w:rPr>
  </w:style>
  <w:style w:type="character" w:styleId="ListLabel1524">
    <w:name w:val="ListLabel 1524"/>
    <w:qFormat/>
    <w:rPr>
      <w:rFonts w:cs="Courier New"/>
    </w:rPr>
  </w:style>
  <w:style w:type="character" w:styleId="ListLabel1525">
    <w:name w:val="ListLabel 1525"/>
    <w:qFormat/>
    <w:rPr>
      <w:rFonts w:cs="Symbol"/>
    </w:rPr>
  </w:style>
  <w:style w:type="character" w:styleId="ListLabel1526">
    <w:name w:val="ListLabel 1526"/>
    <w:qFormat/>
    <w:rPr>
      <w:rFonts w:cs="Symbol"/>
    </w:rPr>
  </w:style>
  <w:style w:type="character" w:styleId="ListLabel1527">
    <w:name w:val="ListLabel 1527"/>
    <w:qFormat/>
    <w:rPr>
      <w:rFonts w:cs="Symbol"/>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Symbol"/>
      <w:color w:val="00000A"/>
    </w:rPr>
  </w:style>
  <w:style w:type="character" w:styleId="ListLabel1533">
    <w:name w:val="ListLabel 1533"/>
    <w:qFormat/>
    <w:rPr>
      <w:rFonts w:cs="Courier New"/>
    </w:rPr>
  </w:style>
  <w:style w:type="character" w:styleId="ListLabel1534">
    <w:name w:val="ListLabel 1534"/>
    <w:qFormat/>
    <w:rPr>
      <w:rFonts w:cs="Courier New"/>
    </w:rPr>
  </w:style>
  <w:style w:type="character" w:styleId="ListLabel1535">
    <w:name w:val="ListLabel 1535"/>
    <w:qFormat/>
    <w:rPr>
      <w:rFonts w:cs="Courier New"/>
    </w:rPr>
  </w:style>
  <w:style w:type="character" w:styleId="ListLabel1536">
    <w:name w:val="ListLabel 1536"/>
    <w:qFormat/>
    <w:rPr>
      <w:rFonts w:cs="Courier New"/>
    </w:rPr>
  </w:style>
  <w:style w:type="character" w:styleId="ListLabel1537">
    <w:name w:val="ListLabel 1537"/>
    <w:qFormat/>
    <w:rPr>
      <w:rFonts w:cs="Courier New"/>
      <w:b/>
    </w:rPr>
  </w:style>
  <w:style w:type="character" w:styleId="ListLabel1538">
    <w:name w:val="ListLabel 1538"/>
    <w:qFormat/>
    <w:rPr>
      <w:rFonts w:cs="Times New Roman"/>
    </w:rPr>
  </w:style>
  <w:style w:type="character" w:styleId="ListLabel1539">
    <w:name w:val="ListLabel 1539"/>
    <w:qFormat/>
    <w:rPr>
      <w:rFonts w:cs="Courier New"/>
    </w:rPr>
  </w:style>
  <w:style w:type="character" w:styleId="ListLabel1540">
    <w:name w:val="ListLabel 1540"/>
    <w:qFormat/>
    <w:rPr>
      <w:rFonts w:cs="Courier New"/>
    </w:rPr>
  </w:style>
  <w:style w:type="character" w:styleId="ListLabel1541">
    <w:name w:val="ListLabel 1541"/>
    <w:qFormat/>
    <w:rPr>
      <w:rFonts w:cs="Wingdings"/>
    </w:rPr>
  </w:style>
  <w:style w:type="character" w:styleId="ListLabel1542">
    <w:name w:val="ListLabel 1542"/>
    <w:qFormat/>
    <w:rPr>
      <w:rFonts w:cs="Symbol"/>
    </w:rPr>
  </w:style>
  <w:style w:type="character" w:styleId="ListLabel1543">
    <w:name w:val="ListLabel 1543"/>
    <w:qFormat/>
    <w:rPr>
      <w:rFonts w:cs="Courier New"/>
    </w:rPr>
  </w:style>
  <w:style w:type="character" w:styleId="ListLabel1544">
    <w:name w:val="ListLabel 1544"/>
    <w:qFormat/>
    <w:rPr>
      <w:rFonts w:cs="Wingdings"/>
    </w:rPr>
  </w:style>
  <w:style w:type="character" w:styleId="ListLabel1545">
    <w:name w:val="ListLabel 1545"/>
    <w:qFormat/>
    <w:rPr>
      <w:rFonts w:cs="Symbol"/>
    </w:rPr>
  </w:style>
  <w:style w:type="character" w:styleId="ListLabel1546">
    <w:name w:val="ListLabel 1546"/>
    <w:qFormat/>
    <w:rPr>
      <w:rFonts w:cs="Courier New"/>
    </w:rPr>
  </w:style>
  <w:style w:type="character" w:styleId="ListLabel1547">
    <w:name w:val="ListLabel 1547"/>
    <w:qFormat/>
    <w:rPr>
      <w:rFonts w:cs="Wingdings"/>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Symbol"/>
    </w:rPr>
  </w:style>
  <w:style w:type="character" w:styleId="ListLabel1558">
    <w:name w:val="ListLabel 1558"/>
    <w:qFormat/>
    <w:rPr>
      <w:rFonts w:cs="Courier New"/>
    </w:rPr>
  </w:style>
  <w:style w:type="character" w:styleId="ListLabel1559">
    <w:name w:val="ListLabel 1559"/>
    <w:qFormat/>
    <w:rPr>
      <w:rFonts w:cs="Wingdings"/>
    </w:rPr>
  </w:style>
  <w:style w:type="character" w:styleId="ListLabel1560">
    <w:name w:val="ListLabel 1560"/>
    <w:qFormat/>
    <w:rPr>
      <w:rFonts w:cs="Symbol"/>
    </w:rPr>
  </w:style>
  <w:style w:type="character" w:styleId="ListLabel1561">
    <w:name w:val="ListLabel 1561"/>
    <w:qFormat/>
    <w:rPr>
      <w:rFonts w:cs="Courier New"/>
    </w:rPr>
  </w:style>
  <w:style w:type="character" w:styleId="ListLabel1562">
    <w:name w:val="ListLabel 1562"/>
    <w:qFormat/>
    <w:rPr>
      <w:rFonts w:cs="Wingdings"/>
    </w:rPr>
  </w:style>
  <w:style w:type="character" w:styleId="ListLabel1563">
    <w:name w:val="ListLabel 1563"/>
    <w:qFormat/>
    <w:rPr>
      <w:rFonts w:cs="Symbol"/>
    </w:rPr>
  </w:style>
  <w:style w:type="character" w:styleId="ListLabel1564">
    <w:name w:val="ListLabel 1564"/>
    <w:qFormat/>
    <w:rPr>
      <w:rFonts w:cs="Courier New"/>
    </w:rPr>
  </w:style>
  <w:style w:type="character" w:styleId="ListLabel1565">
    <w:name w:val="ListLabel 1565"/>
    <w:qFormat/>
    <w:rPr>
      <w:rFonts w:cs="Wingdings"/>
    </w:rPr>
  </w:style>
  <w:style w:type="character" w:styleId="ListLabel1566">
    <w:name w:val="ListLabel 1566"/>
    <w:qFormat/>
    <w:rPr>
      <w:rFonts w:cs="Times New Roman"/>
    </w:rPr>
  </w:style>
  <w:style w:type="character" w:styleId="ListLabel1567">
    <w:name w:val="ListLabel 1567"/>
    <w:qFormat/>
    <w:rPr>
      <w:rFonts w:cs="Symbol"/>
    </w:rPr>
  </w:style>
  <w:style w:type="character" w:styleId="ListLabel1568">
    <w:name w:val="ListLabel 1568"/>
    <w:qFormat/>
    <w:rPr>
      <w:rFonts w:cs="Courier New"/>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cs="Symbol"/>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cs="Symbol"/>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cs="Symbol"/>
    </w:rPr>
  </w:style>
  <w:style w:type="character" w:styleId="ListLabel1583">
    <w:name w:val="ListLabel 1583"/>
    <w:qFormat/>
    <w:rPr>
      <w:rFonts w:cs="Courier New"/>
    </w:rPr>
  </w:style>
  <w:style w:type="character" w:styleId="ListLabel1584">
    <w:name w:val="ListLabel 1584"/>
    <w:qFormat/>
    <w:rPr>
      <w:rFonts w:cs="Wingdings"/>
    </w:rPr>
  </w:style>
  <w:style w:type="character" w:styleId="ListLabel1585">
    <w:name w:val="ListLabel 1585"/>
    <w:qFormat/>
    <w:rPr>
      <w:rFonts w:cs="Symbol"/>
    </w:rPr>
  </w:style>
  <w:style w:type="character" w:styleId="ListLabel1586">
    <w:name w:val="ListLabel 1586"/>
    <w:qFormat/>
    <w:rPr>
      <w:rFonts w:cs="Courier New"/>
    </w:rPr>
  </w:style>
  <w:style w:type="character" w:styleId="ListLabel1587">
    <w:name w:val="ListLabel 1587"/>
    <w:qFormat/>
    <w:rPr>
      <w:rFonts w:cs="Wingdings"/>
    </w:rPr>
  </w:style>
  <w:style w:type="character" w:styleId="ListLabel1588">
    <w:name w:val="ListLabel 1588"/>
    <w:qFormat/>
    <w:rPr>
      <w:rFonts w:cs="Symbol"/>
    </w:rPr>
  </w:style>
  <w:style w:type="character" w:styleId="ListLabel1589">
    <w:name w:val="ListLabel 1589"/>
    <w:qFormat/>
    <w:rPr>
      <w:rFonts w:cs="Courier New"/>
    </w:rPr>
  </w:style>
  <w:style w:type="character" w:styleId="ListLabel1590">
    <w:name w:val="ListLabel 1590"/>
    <w:qFormat/>
    <w:rPr>
      <w:rFonts w:cs="Wingdings"/>
    </w:rPr>
  </w:style>
  <w:style w:type="character" w:styleId="ListLabel1591">
    <w:name w:val="ListLabel 1591"/>
    <w:qFormat/>
    <w:rPr>
      <w:rFonts w:cs="Symbol"/>
    </w:rPr>
  </w:style>
  <w:style w:type="character" w:styleId="ListLabel1592">
    <w:name w:val="ListLabel 1592"/>
    <w:qFormat/>
    <w:rPr>
      <w:rFonts w:cs="Courier New"/>
    </w:rPr>
  </w:style>
  <w:style w:type="character" w:styleId="ListLabel1593">
    <w:name w:val="ListLabel 1593"/>
    <w:qFormat/>
    <w:rPr>
      <w:rFonts w:cs="Wingdings"/>
    </w:rPr>
  </w:style>
  <w:style w:type="character" w:styleId="ListLabel1594">
    <w:name w:val="ListLabel 1594"/>
    <w:qFormat/>
    <w:rPr>
      <w:rFonts w:cs="Symbol"/>
    </w:rPr>
  </w:style>
  <w:style w:type="character" w:styleId="ListLabel1595">
    <w:name w:val="ListLabel 1595"/>
    <w:qFormat/>
    <w:rPr>
      <w:rFonts w:cs="Courier New"/>
    </w:rPr>
  </w:style>
  <w:style w:type="character" w:styleId="ListLabel1596">
    <w:name w:val="ListLabel 1596"/>
    <w:qFormat/>
    <w:rPr>
      <w:rFonts w:cs="Wingdings"/>
    </w:rPr>
  </w:style>
  <w:style w:type="character" w:styleId="ListLabel1597">
    <w:name w:val="ListLabel 1597"/>
    <w:qFormat/>
    <w:rPr>
      <w:rFonts w:cs="Symbol"/>
    </w:rPr>
  </w:style>
  <w:style w:type="character" w:styleId="ListLabel1598">
    <w:name w:val="ListLabel 1598"/>
    <w:qFormat/>
    <w:rPr>
      <w:rFonts w:cs="Courier New"/>
    </w:rPr>
  </w:style>
  <w:style w:type="character" w:styleId="ListLabel1599">
    <w:name w:val="ListLabel 1599"/>
    <w:qFormat/>
    <w:rPr>
      <w:rFonts w:cs="Wingdings"/>
    </w:rPr>
  </w:style>
  <w:style w:type="character" w:styleId="ListLabel1600">
    <w:name w:val="ListLabel 1600"/>
    <w:qFormat/>
    <w:rPr>
      <w:rFonts w:cs="Symbol"/>
    </w:rPr>
  </w:style>
  <w:style w:type="character" w:styleId="ListLabel1601">
    <w:name w:val="ListLabel 1601"/>
    <w:qFormat/>
    <w:rPr>
      <w:rFonts w:cs="Courier New"/>
    </w:rPr>
  </w:style>
  <w:style w:type="character" w:styleId="ListLabel1602">
    <w:name w:val="ListLabel 1602"/>
    <w:qFormat/>
    <w:rPr>
      <w:rFonts w:cs="Wingdings"/>
    </w:rPr>
  </w:style>
  <w:style w:type="character" w:styleId="ListLabel1603">
    <w:name w:val="ListLabel 1603"/>
    <w:qFormat/>
    <w:rPr>
      <w:rFonts w:cs="Symbol"/>
    </w:rPr>
  </w:style>
  <w:style w:type="character" w:styleId="ListLabel1604">
    <w:name w:val="ListLabel 1604"/>
    <w:qFormat/>
    <w:rPr>
      <w:rFonts w:cs="Courier New"/>
    </w:rPr>
  </w:style>
  <w:style w:type="character" w:styleId="ListLabel1605">
    <w:name w:val="ListLabel 1605"/>
    <w:qFormat/>
    <w:rPr>
      <w:rFonts w:cs="Wingdings"/>
    </w:rPr>
  </w:style>
  <w:style w:type="character" w:styleId="ListLabel1606">
    <w:name w:val="ListLabel 1606"/>
    <w:qFormat/>
    <w:rPr>
      <w:rFonts w:cs="Symbol"/>
    </w:rPr>
  </w:style>
  <w:style w:type="character" w:styleId="ListLabel1607">
    <w:name w:val="ListLabel 1607"/>
    <w:qFormat/>
    <w:rPr>
      <w:rFonts w:cs="Courier New"/>
    </w:rPr>
  </w:style>
  <w:style w:type="character" w:styleId="ListLabel1608">
    <w:name w:val="ListLabel 1608"/>
    <w:qFormat/>
    <w:rPr>
      <w:rFonts w:cs="Wingdings"/>
    </w:rPr>
  </w:style>
  <w:style w:type="character" w:styleId="ListLabel1609">
    <w:name w:val="ListLabel 1609"/>
    <w:qFormat/>
    <w:rPr>
      <w:rFonts w:cs="Symbol"/>
    </w:rPr>
  </w:style>
  <w:style w:type="character" w:styleId="ListLabel1610">
    <w:name w:val="ListLabel 1610"/>
    <w:qFormat/>
    <w:rPr>
      <w:rFonts w:cs="Courier New"/>
    </w:rPr>
  </w:style>
  <w:style w:type="character" w:styleId="ListLabel1611">
    <w:name w:val="ListLabel 1611"/>
    <w:qFormat/>
    <w:rPr>
      <w:rFonts w:cs="Wingdings"/>
    </w:rPr>
  </w:style>
  <w:style w:type="character" w:styleId="ListLabel1612">
    <w:name w:val="ListLabel 1612"/>
    <w:qFormat/>
    <w:rPr>
      <w:rFonts w:cs="Times New Roman"/>
    </w:rPr>
  </w:style>
  <w:style w:type="character" w:styleId="ListLabel1613">
    <w:name w:val="ListLabel 1613"/>
    <w:qFormat/>
    <w:rPr>
      <w:rFonts w:cs="Courier New"/>
    </w:rPr>
  </w:style>
  <w:style w:type="character" w:styleId="ListLabel1614">
    <w:name w:val="ListLabel 1614"/>
    <w:qFormat/>
    <w:rPr>
      <w:rFonts w:cs="Wingdings"/>
    </w:rPr>
  </w:style>
  <w:style w:type="character" w:styleId="ListLabel1615">
    <w:name w:val="ListLabel 1615"/>
    <w:qFormat/>
    <w:rPr>
      <w:rFonts w:cs="Symbol"/>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cs="Symbol"/>
    </w:rPr>
  </w:style>
  <w:style w:type="character" w:styleId="ListLabel1619">
    <w:name w:val="ListLabel 1619"/>
    <w:qFormat/>
    <w:rPr>
      <w:rFonts w:cs="Courier New"/>
    </w:rPr>
  </w:style>
  <w:style w:type="character" w:styleId="ListLabel1620">
    <w:name w:val="ListLabel 1620"/>
    <w:qFormat/>
    <w:rPr>
      <w:rFonts w:cs="Wingdings"/>
    </w:rPr>
  </w:style>
  <w:style w:type="character" w:styleId="ListLabel1621">
    <w:name w:val="ListLabel 1621"/>
    <w:qFormat/>
    <w:rPr>
      <w:rFonts w:cs="Times New Roman"/>
    </w:rPr>
  </w:style>
  <w:style w:type="character" w:styleId="ListLabel1622">
    <w:name w:val="ListLabel 1622"/>
    <w:qFormat/>
    <w:rPr>
      <w:rFonts w:cs="Courier New"/>
    </w:rPr>
  </w:style>
  <w:style w:type="character" w:styleId="ListLabel1623">
    <w:name w:val="ListLabel 1623"/>
    <w:qFormat/>
    <w:rPr>
      <w:rFonts w:cs="Wingdings"/>
    </w:rPr>
  </w:style>
  <w:style w:type="character" w:styleId="ListLabel1624">
    <w:name w:val="ListLabel 1624"/>
    <w:qFormat/>
    <w:rPr>
      <w:rFonts w:cs="Symbol"/>
    </w:rPr>
  </w:style>
  <w:style w:type="character" w:styleId="ListLabel1625">
    <w:name w:val="ListLabel 1625"/>
    <w:qFormat/>
    <w:rPr>
      <w:rFonts w:cs="Courier New"/>
    </w:rPr>
  </w:style>
  <w:style w:type="character" w:styleId="ListLabel1626">
    <w:name w:val="ListLabel 1626"/>
    <w:qFormat/>
    <w:rPr>
      <w:rFonts w:cs="Wingdings"/>
    </w:rPr>
  </w:style>
  <w:style w:type="character" w:styleId="ListLabel1627">
    <w:name w:val="ListLabel 1627"/>
    <w:qFormat/>
    <w:rPr>
      <w:rFonts w:cs="Symbol"/>
    </w:rPr>
  </w:style>
  <w:style w:type="character" w:styleId="ListLabel1628">
    <w:name w:val="ListLabel 1628"/>
    <w:qFormat/>
    <w:rPr>
      <w:rFonts w:cs="Courier New"/>
    </w:rPr>
  </w:style>
  <w:style w:type="character" w:styleId="ListLabel1629">
    <w:name w:val="ListLabel 1629"/>
    <w:qFormat/>
    <w:rPr>
      <w:rFonts w:cs="Wingdings"/>
    </w:rPr>
  </w:style>
  <w:style w:type="character" w:styleId="ListLabel1630">
    <w:name w:val="ListLabel 1630"/>
    <w:qFormat/>
    <w:rPr>
      <w:rFonts w:cs="Times New Roman"/>
    </w:rPr>
  </w:style>
  <w:style w:type="character" w:styleId="ListLabel1631">
    <w:name w:val="ListLabel 1631"/>
    <w:qFormat/>
    <w:rPr>
      <w:rFonts w:cs="Courier New"/>
    </w:rPr>
  </w:style>
  <w:style w:type="character" w:styleId="ListLabel1632">
    <w:name w:val="ListLabel 1632"/>
    <w:qFormat/>
    <w:rPr>
      <w:rFonts w:cs="Wingdings"/>
    </w:rPr>
  </w:style>
  <w:style w:type="character" w:styleId="ListLabel1633">
    <w:name w:val="ListLabel 1633"/>
    <w:qFormat/>
    <w:rPr>
      <w:rFonts w:cs="Symbol"/>
    </w:rPr>
  </w:style>
  <w:style w:type="character" w:styleId="ListLabel1634">
    <w:name w:val="ListLabel 1634"/>
    <w:qFormat/>
    <w:rPr>
      <w:rFonts w:cs="Courier New"/>
    </w:rPr>
  </w:style>
  <w:style w:type="character" w:styleId="ListLabel1635">
    <w:name w:val="ListLabel 1635"/>
    <w:qFormat/>
    <w:rPr>
      <w:rFonts w:cs="Wingdings"/>
    </w:rPr>
  </w:style>
  <w:style w:type="character" w:styleId="ListLabel1636">
    <w:name w:val="ListLabel 1636"/>
    <w:qFormat/>
    <w:rPr>
      <w:rFonts w:cs="Symbol"/>
    </w:rPr>
  </w:style>
  <w:style w:type="character" w:styleId="ListLabel1637">
    <w:name w:val="ListLabel 1637"/>
    <w:qFormat/>
    <w:rPr>
      <w:rFonts w:cs="Courier New"/>
    </w:rPr>
  </w:style>
  <w:style w:type="character" w:styleId="ListLabel1638">
    <w:name w:val="ListLabel 1638"/>
    <w:qFormat/>
    <w:rPr>
      <w:rFonts w:cs="Wingdings"/>
    </w:rPr>
  </w:style>
  <w:style w:type="character" w:styleId="ListLabel1639">
    <w:name w:val="ListLabel 1639"/>
    <w:qFormat/>
    <w:rPr>
      <w:rFonts w:cs="Times New Roman"/>
    </w:rPr>
  </w:style>
  <w:style w:type="character" w:styleId="ListLabel1640">
    <w:name w:val="ListLabel 1640"/>
    <w:qFormat/>
    <w:rPr>
      <w:rFonts w:cs="Courier New"/>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Courier New"/>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Courier New"/>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Courier New"/>
    </w:rPr>
  </w:style>
  <w:style w:type="character" w:styleId="ListLabel1650">
    <w:name w:val="ListLabel 1650"/>
    <w:qFormat/>
    <w:rPr>
      <w:rFonts w:cs="Times New Roman"/>
    </w:rPr>
  </w:style>
  <w:style w:type="character" w:styleId="ListLabel1651">
    <w:name w:val="ListLabel 1651"/>
    <w:qFormat/>
    <w:rPr>
      <w:rFonts w:cs="Times New Roman"/>
    </w:rPr>
  </w:style>
  <w:style w:type="character" w:styleId="ListLabel1652">
    <w:name w:val="ListLabel 1652"/>
    <w:qFormat/>
    <w:rPr>
      <w:rFonts w:cs="Courier New"/>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Courier New"/>
    </w:rPr>
  </w:style>
  <w:style w:type="character" w:styleId="ListLabel1656">
    <w:name w:val="ListLabel 1656"/>
    <w:qFormat/>
    <w:rPr>
      <w:rFonts w:cs="Times New Roman"/>
    </w:rPr>
  </w:style>
  <w:style w:type="character" w:styleId="ListLabel1657">
    <w:name w:val="ListLabel 1657"/>
    <w:qFormat/>
    <w:rPr>
      <w:rFonts w:cs="Symbol"/>
      <w:color w:val="00000A"/>
    </w:rPr>
  </w:style>
  <w:style w:type="character" w:styleId="ListLabel1658">
    <w:name w:val="ListLabel 1658"/>
    <w:qFormat/>
    <w:rPr>
      <w:rFonts w:cs="Courier New"/>
    </w:rPr>
  </w:style>
  <w:style w:type="character" w:styleId="ListLabel1659">
    <w:name w:val="ListLabel 1659"/>
    <w:qFormat/>
    <w:rPr>
      <w:rFonts w:cs="Wingdings"/>
    </w:rPr>
  </w:style>
  <w:style w:type="character" w:styleId="ListLabel1660">
    <w:name w:val="ListLabel 1660"/>
    <w:qFormat/>
    <w:rPr>
      <w:rFonts w:cs="Symbol"/>
    </w:rPr>
  </w:style>
  <w:style w:type="character" w:styleId="ListLabel1661">
    <w:name w:val="ListLabel 1661"/>
    <w:qFormat/>
    <w:rPr>
      <w:rFonts w:cs="Courier New"/>
    </w:rPr>
  </w:style>
  <w:style w:type="character" w:styleId="ListLabel1662">
    <w:name w:val="ListLabel 1662"/>
    <w:qFormat/>
    <w:rPr>
      <w:rFonts w:cs="Wingdings"/>
    </w:rPr>
  </w:style>
  <w:style w:type="character" w:styleId="ListLabel1663">
    <w:name w:val="ListLabel 1663"/>
    <w:qFormat/>
    <w:rPr>
      <w:rFonts w:cs="Symbol"/>
    </w:rPr>
  </w:style>
  <w:style w:type="character" w:styleId="ListLabel1664">
    <w:name w:val="ListLabel 1664"/>
    <w:qFormat/>
    <w:rPr>
      <w:rFonts w:cs="Courier New"/>
    </w:rPr>
  </w:style>
  <w:style w:type="character" w:styleId="ListLabel1665">
    <w:name w:val="ListLabel 1665"/>
    <w:qFormat/>
    <w:rPr>
      <w:rFonts w:cs="Wingdings"/>
    </w:rPr>
  </w:style>
  <w:style w:type="character" w:styleId="ListLabel1666">
    <w:name w:val="ListLabel 1666"/>
    <w:qFormat/>
    <w:rPr>
      <w:rFonts w:cs="Symbol"/>
      <w:color w:val="00000A"/>
    </w:rPr>
  </w:style>
  <w:style w:type="character" w:styleId="ListLabel1667">
    <w:name w:val="ListLabel 1667"/>
    <w:qFormat/>
    <w:rPr>
      <w:rFonts w:cs="Courier New"/>
    </w:rPr>
  </w:style>
  <w:style w:type="character" w:styleId="ListLabel1668">
    <w:name w:val="ListLabel 1668"/>
    <w:qFormat/>
    <w:rPr>
      <w:rFonts w:cs="Wingdings"/>
    </w:rPr>
  </w:style>
  <w:style w:type="character" w:styleId="ListLabel1669">
    <w:name w:val="ListLabel 1669"/>
    <w:qFormat/>
    <w:rPr>
      <w:rFonts w:cs="Symbol"/>
    </w:rPr>
  </w:style>
  <w:style w:type="character" w:styleId="ListLabel1670">
    <w:name w:val="ListLabel 1670"/>
    <w:qFormat/>
    <w:rPr>
      <w:rFonts w:cs="Courier New"/>
    </w:rPr>
  </w:style>
  <w:style w:type="character" w:styleId="ListLabel1671">
    <w:name w:val="ListLabel 1671"/>
    <w:qFormat/>
    <w:rPr>
      <w:rFonts w:cs="Wingdings"/>
    </w:rPr>
  </w:style>
  <w:style w:type="character" w:styleId="ListLabel1672">
    <w:name w:val="ListLabel 1672"/>
    <w:qFormat/>
    <w:rPr>
      <w:rFonts w:cs="Symbol"/>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color w:val="00000A"/>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color w:val="00000A"/>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color w:val="00000A"/>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rFonts w:cs="Symbol"/>
    </w:rPr>
  </w:style>
  <w:style w:type="character" w:styleId="ListLabel1709">
    <w:name w:val="ListLabel 1709"/>
    <w:qFormat/>
    <w:rPr>
      <w:rFonts w:cs="Courier New"/>
    </w:rPr>
  </w:style>
  <w:style w:type="character" w:styleId="ListLabel1710">
    <w:name w:val="ListLabel 1710"/>
    <w:qFormat/>
    <w:rPr>
      <w:rFonts w:cs="Wingdings"/>
    </w:rPr>
  </w:style>
  <w:style w:type="character" w:styleId="ListLabel1711">
    <w:name w:val="ListLabel 1711"/>
    <w:qFormat/>
    <w:rPr>
      <w:rFonts w:cs="Symbol"/>
    </w:rPr>
  </w:style>
  <w:style w:type="character" w:styleId="ListLabel1712">
    <w:name w:val="ListLabel 1712"/>
    <w:qFormat/>
    <w:rPr>
      <w:rFonts w:cs="Courier New"/>
    </w:rPr>
  </w:style>
  <w:style w:type="character" w:styleId="ListLabel1713">
    <w:name w:val="ListLabel 1713"/>
    <w:qFormat/>
    <w:rPr>
      <w:rFonts w:cs="Symbol"/>
    </w:rPr>
  </w:style>
  <w:style w:type="character" w:styleId="ListLabel1714">
    <w:name w:val="ListLabel 1714"/>
    <w:qFormat/>
    <w:rPr>
      <w:rFonts w:cs="Symbol"/>
    </w:rPr>
  </w:style>
  <w:style w:type="character" w:styleId="ListLabel1715">
    <w:name w:val="ListLabel 1715"/>
    <w:qFormat/>
    <w:rPr>
      <w:rFonts w:cs="Symbol"/>
    </w:rPr>
  </w:style>
  <w:style w:type="character" w:styleId="ListLabel1716">
    <w:name w:val="ListLabel 1716"/>
    <w:qFormat/>
    <w:rPr>
      <w:rFonts w:cs="Symbol"/>
    </w:rPr>
  </w:style>
  <w:style w:type="character" w:styleId="ListLabel1717">
    <w:name w:val="ListLabel 1717"/>
    <w:qFormat/>
    <w:rPr>
      <w:rFonts w:cs="Courier New"/>
    </w:rPr>
  </w:style>
  <w:style w:type="character" w:styleId="ListLabel1718">
    <w:name w:val="ListLabel 1718"/>
    <w:qFormat/>
    <w:rPr>
      <w:rFonts w:cs="Wingdings"/>
    </w:rPr>
  </w:style>
  <w:style w:type="character" w:styleId="ListLabel1719">
    <w:name w:val="ListLabel 1719"/>
    <w:qFormat/>
    <w:rPr>
      <w:rFonts w:cs="Symbol"/>
    </w:rPr>
  </w:style>
  <w:style w:type="character" w:styleId="ListLabel1720">
    <w:name w:val="ListLabel 1720"/>
    <w:qFormat/>
    <w:rPr>
      <w:rFonts w:cs="Symbol"/>
      <w:color w:val="00000A"/>
    </w:rPr>
  </w:style>
  <w:style w:type="character" w:styleId="ListLabel1721">
    <w:name w:val="ListLabel 1721"/>
    <w:qFormat/>
    <w:rPr>
      <w:rFonts w:cs="Courier New"/>
    </w:rPr>
  </w:style>
  <w:style w:type="character" w:styleId="ListLabel1722">
    <w:name w:val="ListLabel 1722"/>
    <w:qFormat/>
    <w:rPr>
      <w:rFonts w:cs="Courier New"/>
    </w:rPr>
  </w:style>
  <w:style w:type="character" w:styleId="ListLabel1723">
    <w:name w:val="ListLabel 1723"/>
    <w:qFormat/>
    <w:rPr>
      <w:rFonts w:cs="Courier New"/>
    </w:rPr>
  </w:style>
  <w:style w:type="character" w:styleId="ListLabel1724">
    <w:name w:val="ListLabel 1724"/>
    <w:qFormat/>
    <w:rPr>
      <w:rFonts w:cs="Courier New"/>
    </w:rPr>
  </w:style>
  <w:style w:type="character" w:styleId="ListLabel1725">
    <w:name w:val="ListLabel 1725"/>
    <w:qFormat/>
    <w:rPr>
      <w:rFonts w:cs="Courier New"/>
      <w:b/>
    </w:rPr>
  </w:style>
  <w:style w:type="character" w:styleId="ListLabel1726">
    <w:name w:val="ListLabel 1726"/>
    <w:qFormat/>
    <w:rPr>
      <w:rFonts w:cs="Times New Roman"/>
    </w:rPr>
  </w:style>
  <w:style w:type="character" w:styleId="ListLabel1727">
    <w:name w:val="ListLabel 1727"/>
    <w:qFormat/>
    <w:rPr>
      <w:rFonts w:cs="Courier New"/>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rFonts w:cs="Symbol"/>
    </w:rPr>
  </w:style>
  <w:style w:type="character" w:styleId="ListLabel1749">
    <w:name w:val="ListLabel 1749"/>
    <w:qFormat/>
    <w:rPr>
      <w:rFonts w:cs="Courier New"/>
    </w:rPr>
  </w:style>
  <w:style w:type="character" w:styleId="ListLabel1750">
    <w:name w:val="ListLabel 1750"/>
    <w:qFormat/>
    <w:rPr>
      <w:rFonts w:cs="Wingdings"/>
    </w:rPr>
  </w:style>
  <w:style w:type="character" w:styleId="ListLabel1751">
    <w:name w:val="ListLabel 1751"/>
    <w:qFormat/>
    <w:rPr>
      <w:rFonts w:cs="Symbol"/>
    </w:rPr>
  </w:style>
  <w:style w:type="character" w:styleId="ListLabel1752">
    <w:name w:val="ListLabel 1752"/>
    <w:qFormat/>
    <w:rPr>
      <w:rFonts w:cs="Courier New"/>
    </w:rPr>
  </w:style>
  <w:style w:type="character" w:styleId="ListLabel1753">
    <w:name w:val="ListLabel 1753"/>
    <w:qFormat/>
    <w:rPr>
      <w:rFonts w:cs="Wingdings"/>
    </w:rPr>
  </w:style>
  <w:style w:type="character" w:styleId="ListLabel1754">
    <w:name w:val="ListLabel 1754"/>
    <w:qFormat/>
    <w:rPr>
      <w:rFonts w:cs="Times New Roman"/>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rPr>
  </w:style>
  <w:style w:type="character" w:styleId="ListLabel1795">
    <w:name w:val="ListLabel 1795"/>
    <w:qFormat/>
    <w:rPr>
      <w:rFonts w:cs="Courier New"/>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Times New Roman"/>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Symbol"/>
    </w:rPr>
  </w:style>
  <w:style w:type="character" w:styleId="ListLabel1804">
    <w:name w:val="ListLabel 1804"/>
    <w:qFormat/>
    <w:rPr>
      <w:rFonts w:cs="Courier New"/>
    </w:rPr>
  </w:style>
  <w:style w:type="character" w:styleId="ListLabel1805">
    <w:name w:val="ListLabel 1805"/>
    <w:qFormat/>
    <w:rPr>
      <w:rFonts w:cs="Wingdings"/>
    </w:rPr>
  </w:style>
  <w:style w:type="character" w:styleId="ListLabel1806">
    <w:name w:val="ListLabel 1806"/>
    <w:qFormat/>
    <w:rPr>
      <w:rFonts w:cs="Symbol"/>
    </w:rPr>
  </w:style>
  <w:style w:type="character" w:styleId="ListLabel1807">
    <w:name w:val="ListLabel 1807"/>
    <w:qFormat/>
    <w:rPr>
      <w:rFonts w:cs="Courier New"/>
    </w:rPr>
  </w:style>
  <w:style w:type="character" w:styleId="ListLabel1808">
    <w:name w:val="ListLabel 1808"/>
    <w:qFormat/>
    <w:rPr>
      <w:rFonts w:cs="Wingdings"/>
    </w:rPr>
  </w:style>
  <w:style w:type="character" w:styleId="ListLabel1809">
    <w:name w:val="ListLabel 1809"/>
    <w:qFormat/>
    <w:rPr>
      <w:rFonts w:cs="Times New Roman"/>
    </w:rPr>
  </w:style>
  <w:style w:type="character" w:styleId="ListLabel1810">
    <w:name w:val="ListLabel 1810"/>
    <w:qFormat/>
    <w:rPr>
      <w:rFonts w:cs="Courier New"/>
    </w:rPr>
  </w:style>
  <w:style w:type="character" w:styleId="ListLabel1811">
    <w:name w:val="ListLabel 1811"/>
    <w:qFormat/>
    <w:rPr>
      <w:rFonts w:cs="Wingdings"/>
    </w:rPr>
  </w:style>
  <w:style w:type="character" w:styleId="ListLabel1812">
    <w:name w:val="ListLabel 1812"/>
    <w:qFormat/>
    <w:rPr>
      <w:rFonts w:cs="Symbol"/>
    </w:rPr>
  </w:style>
  <w:style w:type="character" w:styleId="ListLabel1813">
    <w:name w:val="ListLabel 1813"/>
    <w:qFormat/>
    <w:rPr>
      <w:rFonts w:cs="Courier New"/>
    </w:rPr>
  </w:style>
  <w:style w:type="character" w:styleId="ListLabel1814">
    <w:name w:val="ListLabel 1814"/>
    <w:qFormat/>
    <w:rPr>
      <w:rFonts w:cs="Wingdings"/>
    </w:rPr>
  </w:style>
  <w:style w:type="character" w:styleId="ListLabel1815">
    <w:name w:val="ListLabel 1815"/>
    <w:qFormat/>
    <w:rPr>
      <w:rFonts w:cs="Symbol"/>
    </w:rPr>
  </w:style>
  <w:style w:type="character" w:styleId="ListLabel1816">
    <w:name w:val="ListLabel 1816"/>
    <w:qFormat/>
    <w:rPr>
      <w:rFonts w:cs="Courier New"/>
    </w:rPr>
  </w:style>
  <w:style w:type="character" w:styleId="ListLabel1817">
    <w:name w:val="ListLabel 1817"/>
    <w:qFormat/>
    <w:rPr>
      <w:rFonts w:cs="Wingdings"/>
    </w:rPr>
  </w:style>
  <w:style w:type="character" w:styleId="ListLabel1818">
    <w:name w:val="ListLabel 1818"/>
    <w:qFormat/>
    <w:rPr>
      <w:rFonts w:cs="Times New Roman"/>
    </w:rPr>
  </w:style>
  <w:style w:type="character" w:styleId="ListLabel1819">
    <w:name w:val="ListLabel 1819"/>
    <w:qFormat/>
    <w:rPr>
      <w:rFonts w:cs="Courier New"/>
    </w:rPr>
  </w:style>
  <w:style w:type="character" w:styleId="ListLabel1820">
    <w:name w:val="ListLabel 1820"/>
    <w:qFormat/>
    <w:rPr>
      <w:rFonts w:cs="Wingdings"/>
    </w:rPr>
  </w:style>
  <w:style w:type="character" w:styleId="ListLabel1821">
    <w:name w:val="ListLabel 1821"/>
    <w:qFormat/>
    <w:rPr>
      <w:rFonts w:cs="Symbol"/>
    </w:rPr>
  </w:style>
  <w:style w:type="character" w:styleId="ListLabel1822">
    <w:name w:val="ListLabel 1822"/>
    <w:qFormat/>
    <w:rPr>
      <w:rFonts w:cs="Courier New"/>
    </w:rPr>
  </w:style>
  <w:style w:type="character" w:styleId="ListLabel1823">
    <w:name w:val="ListLabel 1823"/>
    <w:qFormat/>
    <w:rPr>
      <w:rFonts w:cs="Wingdings"/>
    </w:rPr>
  </w:style>
  <w:style w:type="character" w:styleId="ListLabel1824">
    <w:name w:val="ListLabel 1824"/>
    <w:qFormat/>
    <w:rPr>
      <w:rFonts w:cs="Symbol"/>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cs="Times New Roman"/>
    </w:rPr>
  </w:style>
  <w:style w:type="character" w:styleId="ListLabel1828">
    <w:name w:val="ListLabel 1828"/>
    <w:qFormat/>
    <w:rPr>
      <w:rFonts w:cs="Courier New"/>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Courier New"/>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Courier New"/>
    </w:rPr>
  </w:style>
  <w:style w:type="character" w:styleId="ListLabel1835">
    <w:name w:val="ListLabel 1835"/>
    <w:qFormat/>
    <w:rPr>
      <w:rFonts w:cs="Times New Roman"/>
    </w:rPr>
  </w:style>
  <w:style w:type="character" w:styleId="ListLabel1836">
    <w:name w:val="ListLabel 1836"/>
    <w:qFormat/>
    <w:rPr>
      <w:rFonts w:cs="Times New Roman"/>
    </w:rPr>
  </w:style>
  <w:style w:type="character" w:styleId="ListLabel1837">
    <w:name w:val="ListLabel 1837"/>
    <w:qFormat/>
    <w:rPr>
      <w:rFonts w:cs="Courier New"/>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Courier New"/>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Courier New"/>
    </w:rPr>
  </w:style>
  <w:style w:type="character" w:styleId="ListLabel1844">
    <w:name w:val="ListLabel 1844"/>
    <w:qFormat/>
    <w:rPr>
      <w:rFonts w:cs="Times New Roman"/>
    </w:rPr>
  </w:style>
  <w:style w:type="character" w:styleId="ListLabel1845">
    <w:name w:val="ListLabel 1845"/>
    <w:qFormat/>
    <w:rPr>
      <w:rFonts w:cs="Symbol"/>
      <w:color w:val="00000A"/>
    </w:rPr>
  </w:style>
  <w:style w:type="character" w:styleId="ListLabel1846">
    <w:name w:val="ListLabel 1846"/>
    <w:qFormat/>
    <w:rPr>
      <w:rFonts w:cs="Courier New"/>
    </w:rPr>
  </w:style>
  <w:style w:type="character" w:styleId="ListLabel1847">
    <w:name w:val="ListLabel 1847"/>
    <w:qFormat/>
    <w:rPr>
      <w:rFonts w:cs="Wingdings"/>
    </w:rPr>
  </w:style>
  <w:style w:type="character" w:styleId="ListLabel1848">
    <w:name w:val="ListLabel 1848"/>
    <w:qFormat/>
    <w:rPr>
      <w:rFonts w:cs="Symbol"/>
    </w:rPr>
  </w:style>
  <w:style w:type="character" w:styleId="ListLabel1849">
    <w:name w:val="ListLabel 1849"/>
    <w:qFormat/>
    <w:rPr>
      <w:rFonts w:cs="Courier New"/>
    </w:rPr>
  </w:style>
  <w:style w:type="character" w:styleId="ListLabel1850">
    <w:name w:val="ListLabel 1850"/>
    <w:qFormat/>
    <w:rPr>
      <w:rFonts w:cs="Wingdings"/>
    </w:rPr>
  </w:style>
  <w:style w:type="character" w:styleId="ListLabel1851">
    <w:name w:val="ListLabel 1851"/>
    <w:qFormat/>
    <w:rPr>
      <w:rFonts w:cs="Symbol"/>
    </w:rPr>
  </w:style>
  <w:style w:type="character" w:styleId="ListLabel1852">
    <w:name w:val="ListLabel 1852"/>
    <w:qFormat/>
    <w:rPr>
      <w:rFonts w:cs="Courier New"/>
    </w:rPr>
  </w:style>
  <w:style w:type="character" w:styleId="ListLabel1853">
    <w:name w:val="ListLabel 1853"/>
    <w:qFormat/>
    <w:rPr>
      <w:rFonts w:cs="Wingdings"/>
    </w:rPr>
  </w:style>
  <w:style w:type="character" w:styleId="ListLabel1854">
    <w:name w:val="ListLabel 1854"/>
    <w:qFormat/>
    <w:rPr>
      <w:rFonts w:cs="Symbol"/>
      <w:color w:val="00000A"/>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rPr>
  </w:style>
  <w:style w:type="character" w:styleId="ListLabel1861">
    <w:name w:val="ListLabel 1861"/>
    <w:qFormat/>
    <w:rPr>
      <w:rFonts w:cs="Courier New"/>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rPr>
  </w:style>
  <w:style w:type="character" w:styleId="ListLabel1870">
    <w:name w:val="ListLabel 1870"/>
    <w:qFormat/>
    <w:rPr>
      <w:rFonts w:cs="Courier New"/>
    </w:rPr>
  </w:style>
  <w:style w:type="character" w:styleId="ListLabel1871">
    <w:name w:val="ListLabel 1871"/>
    <w:qFormat/>
    <w:rPr>
      <w:rFonts w:cs="Wingdings"/>
    </w:rPr>
  </w:style>
  <w:style w:type="character" w:styleId="ListLabel1872">
    <w:name w:val="ListLabel 1872"/>
    <w:qFormat/>
    <w:rPr>
      <w:rFonts w:cs="Symbol"/>
      <w:color w:val="00000A"/>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color w:val="00000A"/>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color w:val="00000A"/>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rPr>
  </w:style>
  <w:style w:type="character" w:styleId="ListLabel1900">
    <w:name w:val="ListLabel 1900"/>
    <w:qFormat/>
    <w:rPr>
      <w:rFonts w:cs="Courier New"/>
    </w:rPr>
  </w:style>
  <w:style w:type="character" w:styleId="ListLabel1901">
    <w:name w:val="ListLabel 1901"/>
    <w:qFormat/>
    <w:rPr>
      <w:rFonts w:cs="Symbol"/>
    </w:rPr>
  </w:style>
  <w:style w:type="character" w:styleId="ListLabel1902">
    <w:name w:val="ListLabel 1902"/>
    <w:qFormat/>
    <w:rPr>
      <w:rFonts w:cs="Symbol"/>
    </w:rPr>
  </w:style>
  <w:style w:type="character" w:styleId="ListLabel1903">
    <w:name w:val="ListLabel 1903"/>
    <w:qFormat/>
    <w:rPr>
      <w:rFonts w:cs="Symbol"/>
    </w:rPr>
  </w:style>
  <w:style w:type="character" w:styleId="ListLabel1904">
    <w:name w:val="ListLabel 1904"/>
    <w:qFormat/>
    <w:rPr>
      <w:rFonts w:cs="Symbol"/>
    </w:rPr>
  </w:style>
  <w:style w:type="character" w:styleId="ListLabel1905">
    <w:name w:val="ListLabel 1905"/>
    <w:qFormat/>
    <w:rPr>
      <w:rFonts w:cs="Courier New"/>
    </w:rPr>
  </w:style>
  <w:style w:type="character" w:styleId="ListLabel1906">
    <w:name w:val="ListLabel 1906"/>
    <w:qFormat/>
    <w:rPr>
      <w:rFonts w:cs="Wingdings"/>
    </w:rPr>
  </w:style>
  <w:style w:type="character" w:styleId="ListLabel1907">
    <w:name w:val="ListLabel 1907"/>
    <w:qFormat/>
    <w:rPr>
      <w:rFonts w:cs="Symbol"/>
    </w:rPr>
  </w:style>
  <w:style w:type="character" w:styleId="ListLabel1908">
    <w:name w:val="ListLabel 1908"/>
    <w:qFormat/>
    <w:rPr>
      <w:rFonts w:cs="Symbol"/>
      <w:color w:val="00000A"/>
    </w:rPr>
  </w:style>
  <w:style w:type="character" w:styleId="ListLabel1909">
    <w:name w:val="ListLabel 1909"/>
    <w:qFormat/>
    <w:rPr>
      <w:rFonts w:cs="Courier New"/>
    </w:rPr>
  </w:style>
  <w:style w:type="character" w:styleId="ListLabel1910">
    <w:name w:val="ListLabel 1910"/>
    <w:qFormat/>
    <w:rPr>
      <w:rFonts w:cs="Courier New"/>
    </w:rPr>
  </w:style>
  <w:style w:type="character" w:styleId="ListLabel1911">
    <w:name w:val="ListLabel 1911"/>
    <w:qFormat/>
    <w:rPr>
      <w:rFonts w:cs="Courier New"/>
    </w:rPr>
  </w:style>
  <w:style w:type="character" w:styleId="ListLabel1912">
    <w:name w:val="ListLabel 1912"/>
    <w:qFormat/>
    <w:rPr>
      <w:rFonts w:cs="Courier New"/>
    </w:rPr>
  </w:style>
  <w:style w:type="character" w:styleId="ListLabel1913">
    <w:name w:val="ListLabel 1913"/>
    <w:qFormat/>
    <w:rPr>
      <w:rFonts w:cs="Courier New"/>
      <w:b/>
    </w:rPr>
  </w:style>
  <w:style w:type="character" w:styleId="ListLabel1914">
    <w:name w:val="ListLabel 1914"/>
    <w:qFormat/>
    <w:rPr>
      <w:rFonts w:cs="Times New Roman"/>
    </w:rPr>
  </w:style>
  <w:style w:type="character" w:styleId="ListLabel1915">
    <w:name w:val="ListLabel 1915"/>
    <w:qFormat/>
    <w:rPr>
      <w:rFonts w:cs="Courier New"/>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paragraph" w:styleId="Cmsor" w:customStyle="1">
    <w:name w:val="Címsor"/>
    <w:basedOn w:val="Normal"/>
    <w:next w:val="Szvegtrzs"/>
    <w:qFormat/>
    <w:pPr>
      <w:keepNext/>
      <w:spacing w:before="240" w:after="120"/>
    </w:pPr>
    <w:rPr>
      <w:rFonts w:ascii="Arial" w:hAnsi="Arial" w:eastAsia="Microsoft YaHei" w:cs="Mangal"/>
      <w:sz w:val="28"/>
      <w:szCs w:val="28"/>
    </w:rPr>
  </w:style>
  <w:style w:type="paragraph" w:styleId="Szvegtrzs">
    <w:name w:val="Body Text"/>
    <w:basedOn w:val="Normal"/>
    <w:pPr>
      <w:spacing w:before="0" w:after="12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BalloonText">
    <w:name w:val="Balloon Text"/>
    <w:basedOn w:val="Normal"/>
    <w:qFormat/>
    <w:pPr/>
    <w:rPr>
      <w:rFonts w:ascii="Tahoma" w:hAnsi="Tahoma" w:cs="Tahoma"/>
      <w:sz w:val="16"/>
      <w:szCs w:val="16"/>
    </w:rPr>
  </w:style>
  <w:style w:type="paragraph" w:styleId="Lfej">
    <w:name w:val="Header"/>
    <w:basedOn w:val="Normal"/>
    <w:link w:val="lfejChar"/>
    <w:pPr>
      <w:tabs>
        <w:tab w:val="center" w:pos="4536" w:leader="none"/>
        <w:tab w:val="right" w:pos="9072" w:leader="none"/>
      </w:tabs>
    </w:pPr>
    <w:rPr/>
  </w:style>
  <w:style w:type="paragraph" w:styleId="Llb">
    <w:name w:val="Footer"/>
    <w:basedOn w:val="Normal"/>
    <w:link w:val="llbChar"/>
    <w:uiPriority w:val="99"/>
    <w:pPr>
      <w:tabs>
        <w:tab w:val="center" w:pos="4536" w:leader="none"/>
        <w:tab w:val="right" w:pos="9072" w:leader="none"/>
      </w:tabs>
    </w:pPr>
    <w:rPr/>
  </w:style>
  <w:style w:type="paragraph" w:styleId="NoSpacing">
    <w:name w:val="No Spacing"/>
    <w:uiPriority w:val="1"/>
    <w:qFormat/>
    <w:rsid w:val="00411ce9"/>
    <w:pPr>
      <w:widowControl/>
      <w:suppressAutoHyphens w:val="true"/>
      <w:bidi w:val="0"/>
      <w:jc w:val="both"/>
    </w:pPr>
    <w:rPr>
      <w:rFonts w:ascii="Times New Roman" w:hAnsi="Times New Roman" w:eastAsia="Calibri" w:cs="Times New Roman"/>
      <w:color w:val="00000A"/>
      <w:sz w:val="24"/>
      <w:szCs w:val="22"/>
      <w:lang w:val="hu-HU" w:eastAsia="zh-CN" w:bidi="ar-SA"/>
    </w:rPr>
  </w:style>
  <w:style w:type="paragraph" w:styleId="Annotationtext">
    <w:name w:val="annotation text"/>
    <w:basedOn w:val="Normal"/>
    <w:link w:val="JegyzetszvegChar"/>
    <w:semiHidden/>
    <w:qFormat/>
    <w:rsid w:val="005708ed"/>
    <w:pPr>
      <w:suppressAutoHyphens w:val="false"/>
      <w:spacing w:before="120" w:after="0"/>
    </w:pPr>
    <w:rPr>
      <w:rFonts w:eastAsia="Times New Roman"/>
      <w:sz w:val="20"/>
      <w:szCs w:val="20"/>
      <w:lang w:eastAsia="hu-HU"/>
    </w:rPr>
  </w:style>
  <w:style w:type="paragraph" w:styleId="Cm">
    <w:name w:val="Title"/>
    <w:basedOn w:val="Normal"/>
    <w:link w:val="CmChar"/>
    <w:uiPriority w:val="10"/>
    <w:qFormat/>
    <w:rsid w:val="005708ed"/>
    <w:pPr>
      <w:spacing w:before="240" w:after="60"/>
      <w:jc w:val="center"/>
      <w:outlineLvl w:val="0"/>
    </w:pPr>
    <w:rPr>
      <w:rFonts w:eastAsia="Times New Roman"/>
      <w:b/>
      <w:bCs/>
      <w:sz w:val="28"/>
      <w:szCs w:val="32"/>
    </w:rPr>
  </w:style>
  <w:style w:type="paragraph" w:styleId="BodyText3">
    <w:name w:val="Body Text 3"/>
    <w:basedOn w:val="Normal"/>
    <w:link w:val="Szvegtrzs3Char"/>
    <w:uiPriority w:val="99"/>
    <w:semiHidden/>
    <w:unhideWhenUsed/>
    <w:qFormat/>
    <w:rsid w:val="00154908"/>
    <w:pPr>
      <w:spacing w:before="0" w:after="120"/>
    </w:pPr>
    <w:rPr>
      <w:sz w:val="16"/>
      <w:szCs w:val="16"/>
    </w:rPr>
  </w:style>
  <w:style w:type="paragraph" w:styleId="Annotationsubject">
    <w:name w:val="annotation subject"/>
    <w:basedOn w:val="Annotationtext"/>
    <w:link w:val="MegjegyzstrgyaChar"/>
    <w:uiPriority w:val="99"/>
    <w:semiHidden/>
    <w:unhideWhenUsed/>
    <w:qFormat/>
    <w:rsid w:val="003a3928"/>
    <w:pPr>
      <w:suppressAutoHyphens w:val="true"/>
      <w:spacing w:before="0" w:after="0"/>
    </w:pPr>
    <w:rPr>
      <w:rFonts w:eastAsia="Calibri"/>
      <w:b/>
      <w:bCs/>
      <w:lang w:eastAsia="zh-CN"/>
    </w:rPr>
  </w:style>
  <w:style w:type="paragraph" w:styleId="ListBullet3">
    <w:name w:val="List Bullet 3"/>
    <w:basedOn w:val="Normal"/>
    <w:uiPriority w:val="99"/>
    <w:semiHidden/>
    <w:unhideWhenUsed/>
    <w:qFormat/>
    <w:rsid w:val="009b3fc7"/>
    <w:pPr>
      <w:spacing w:before="0" w:after="0"/>
      <w:ind w:left="566" w:hanging="283"/>
      <w:contextualSpacing/>
    </w:pPr>
    <w:rPr/>
  </w:style>
  <w:style w:type="paragraph" w:styleId="TOCHeading">
    <w:name w:val="TOC Heading"/>
    <w:basedOn w:val="Cmsor1"/>
    <w:uiPriority w:val="39"/>
    <w:unhideWhenUsed/>
    <w:qFormat/>
    <w:rsid w:val="00a96299"/>
    <w:pPr>
      <w:keepNext/>
      <w:numPr>
        <w:ilvl w:val="0"/>
        <w:numId w:val="0"/>
      </w:numPr>
      <w:suppressAutoHyphens w:val="false"/>
      <w:spacing w:lineRule="auto" w:line="259" w:before="240" w:after="0"/>
      <w:ind w:left="431" w:hanging="431"/>
      <w:jc w:val="left"/>
    </w:pPr>
    <w:rPr>
      <w:rFonts w:ascii="Calibri Light" w:hAnsi="Calibri Light" w:eastAsia="Times New Roman"/>
      <w:b w:val="false"/>
      <w:caps w:val="false"/>
      <w:smallCaps w:val="false"/>
      <w:color w:val="2E74B5"/>
      <w:sz w:val="32"/>
      <w:szCs w:val="32"/>
      <w:lang w:eastAsia="hu-HU"/>
    </w:rPr>
  </w:style>
  <w:style w:type="paragraph" w:styleId="Tartalomjegyzk1">
    <w:name w:val="TOC 1"/>
    <w:basedOn w:val="Normal"/>
    <w:autoRedefine/>
    <w:uiPriority w:val="39"/>
    <w:unhideWhenUsed/>
    <w:rsid w:val="00a96299"/>
    <w:pPr/>
    <w:rPr/>
  </w:style>
  <w:style w:type="paragraph" w:styleId="Tartalomjegyzk2">
    <w:name w:val="TOC 2"/>
    <w:basedOn w:val="Normal"/>
    <w:autoRedefine/>
    <w:uiPriority w:val="39"/>
    <w:unhideWhenUsed/>
    <w:rsid w:val="00a96299"/>
    <w:pPr>
      <w:ind w:left="240" w:hanging="0"/>
    </w:pPr>
    <w:rPr/>
  </w:style>
  <w:style w:type="paragraph" w:styleId="Tartalomjegyzk3">
    <w:name w:val="TOC 3"/>
    <w:basedOn w:val="Normal"/>
    <w:autoRedefine/>
    <w:uiPriority w:val="39"/>
    <w:unhideWhenUsed/>
    <w:rsid w:val="00a96299"/>
    <w:pPr>
      <w:ind w:left="480" w:hanging="0"/>
    </w:pPr>
    <w:rPr/>
  </w:style>
  <w:style w:type="paragraph" w:styleId="CmsI1" w:customStyle="1">
    <w:name w:val="címsI/1"/>
    <w:basedOn w:val="Cmsor1"/>
    <w:qFormat/>
    <w:rsid w:val="004340f3"/>
    <w:pPr>
      <w:keepLines w:val="false"/>
      <w:numPr>
        <w:ilvl w:val="0"/>
        <w:numId w:val="0"/>
      </w:numPr>
      <w:tabs>
        <w:tab w:val="left" w:pos="432" w:leader="none"/>
      </w:tabs>
      <w:suppressAutoHyphens w:val="false"/>
      <w:spacing w:lineRule="auto" w:line="360" w:before="120" w:after="0"/>
      <w:ind w:left="432" w:hanging="432"/>
    </w:pPr>
    <w:rPr>
      <w:rFonts w:ascii="Times New Roman" w:hAnsi="Times New Roman" w:eastAsia="Times New Roman"/>
      <w:sz w:val="28"/>
      <w:szCs w:val="20"/>
      <w:lang w:eastAsia="hu-HU"/>
    </w:rPr>
  </w:style>
  <w:style w:type="paragraph" w:styleId="Tartalomjegyzk5">
    <w:name w:val="TOC 5"/>
    <w:basedOn w:val="Normal"/>
    <w:autoRedefine/>
    <w:uiPriority w:val="39"/>
    <w:semiHidden/>
    <w:unhideWhenUsed/>
    <w:rsid w:val="00b00dab"/>
    <w:pPr>
      <w:ind w:left="960" w:hanging="0"/>
    </w:pPr>
    <w:rPr/>
  </w:style>
  <w:style w:type="paragraph" w:styleId="Tblzattartalom">
    <w:name w:val="Táblázattartalom"/>
    <w:basedOn w:val="Normal"/>
    <w:qFormat/>
    <w:pPr/>
    <w:rPr/>
  </w:style>
  <w:style w:type="paragraph" w:styleId="Tblzatfejlc">
    <w:name w:val="Táblázatfejléc"/>
    <w:basedOn w:val="Tblzattartalom"/>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4630D4C-7536-40B3-864B-5DADE1CA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Application>LibreOffice/5.2.0.4$Windows_x86 LibreOffice_project/066b007f5ebcc236395c7d282ba488bca6720265</Application>
  <Pages>43</Pages>
  <Words>15094</Words>
  <Characters>107186</Characters>
  <CharactersWithSpaces>121309</CharactersWithSpaces>
  <Paragraphs>825</Paragraphs>
  <Company>GDLPMH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2017-03-29T13:18:00Z</dcterms:created>
  <dc:creator>Domonkos Ernő</dc:creator>
  <dc:description/>
  <dc:language>hu-HU</dc:language>
  <cp:lastModifiedBy/>
  <cp:lastPrinted>2017-03-31T10:06:29Z</cp:lastPrinted>
  <dcterms:modified xsi:type="dcterms:W3CDTF">2017-04-27T13:29:00Z</dcterms:modified>
  <cp:revision>16</cp:revision>
  <dc:subject/>
  <dc:title>Szám: 104-669-2/2009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GDLPMH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